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6A09C" w14:textId="009CD27D" w:rsidR="00BD5588" w:rsidRPr="008E1347" w:rsidRDefault="00C50D47" w:rsidP="00263BB9">
      <w:pPr>
        <w:pStyle w:val="NormalWeb"/>
        <w:spacing w:before="0" w:beforeAutospacing="0" w:after="0" w:afterAutospacing="0"/>
        <w:jc w:val="center"/>
        <w:rPr>
          <w:rFonts w:ascii="Times New Roman" w:hAnsi="Times New Roman"/>
          <w:b/>
          <w:bCs/>
          <w:sz w:val="24"/>
          <w:szCs w:val="24"/>
          <w:lang w:val="lv-LV" w:eastAsia="lv-LV"/>
        </w:rPr>
      </w:pPr>
      <w:bookmarkStart w:id="0" w:name="_GoBack"/>
      <w:bookmarkEnd w:id="0"/>
      <w:r w:rsidRPr="008E1347">
        <w:rPr>
          <w:rFonts w:ascii="Times New Roman" w:hAnsi="Times New Roman"/>
          <w:b/>
          <w:bCs/>
          <w:sz w:val="24"/>
          <w:szCs w:val="24"/>
          <w:lang w:val="lv-LV" w:eastAsia="lv-LV"/>
        </w:rPr>
        <w:t xml:space="preserve">Ministru kabineta noteikumu </w:t>
      </w:r>
      <w:r w:rsidRPr="0061120F">
        <w:rPr>
          <w:rFonts w:ascii="Times New Roman" w:hAnsi="Times New Roman"/>
          <w:b/>
          <w:bCs/>
          <w:sz w:val="24"/>
          <w:szCs w:val="24"/>
          <w:lang w:val="lv-LV" w:eastAsia="lv-LV"/>
        </w:rPr>
        <w:t xml:space="preserve">projekta </w:t>
      </w:r>
      <w:r w:rsidR="00965B94" w:rsidRPr="0061120F">
        <w:rPr>
          <w:rFonts w:ascii="Times New Roman" w:hAnsi="Times New Roman"/>
          <w:b/>
          <w:bCs/>
          <w:sz w:val="24"/>
          <w:szCs w:val="24"/>
          <w:lang w:val="lv-LV" w:eastAsia="lv-LV"/>
        </w:rPr>
        <w:t>“</w:t>
      </w:r>
      <w:r w:rsidR="00A57029" w:rsidRPr="0061120F">
        <w:rPr>
          <w:rFonts w:ascii="Times New Roman" w:hAnsi="Times New Roman"/>
          <w:b/>
          <w:bCs/>
          <w:sz w:val="24"/>
          <w:szCs w:val="24"/>
          <w:lang w:val="lv-LV" w:eastAsia="lv-LV"/>
        </w:rPr>
        <w:t>V</w:t>
      </w:r>
      <w:r w:rsidR="008E1347" w:rsidRPr="0061120F">
        <w:rPr>
          <w:rFonts w:ascii="Times New Roman" w:hAnsi="Times New Roman"/>
          <w:b/>
          <w:bCs/>
          <w:sz w:val="24"/>
          <w:szCs w:val="24"/>
          <w:lang w:val="lv-LV" w:eastAsia="lv-LV"/>
        </w:rPr>
        <w:t>alsts pārvaldes uzdevuma ietvaros</w:t>
      </w:r>
      <w:r w:rsidR="00083FFB" w:rsidRPr="0061120F">
        <w:rPr>
          <w:rFonts w:ascii="Times New Roman" w:hAnsi="Times New Roman"/>
          <w:b/>
          <w:bCs/>
          <w:sz w:val="24"/>
          <w:szCs w:val="24"/>
          <w:lang w:val="lv-LV" w:eastAsia="lv-LV"/>
        </w:rPr>
        <w:t xml:space="preserve"> sniegto maksas pakalpojumu cen</w:t>
      </w:r>
      <w:r w:rsidR="008E1347" w:rsidRPr="0061120F">
        <w:rPr>
          <w:rFonts w:ascii="Times New Roman" w:hAnsi="Times New Roman"/>
          <w:b/>
          <w:bCs/>
          <w:sz w:val="24"/>
          <w:szCs w:val="24"/>
          <w:lang w:val="lv-LV" w:eastAsia="lv-LV"/>
        </w:rPr>
        <w:t>rādis</w:t>
      </w:r>
      <w:r w:rsidR="007866E2" w:rsidRPr="0061120F">
        <w:rPr>
          <w:rFonts w:ascii="Times New Roman" w:hAnsi="Times New Roman"/>
          <w:b/>
          <w:bCs/>
          <w:sz w:val="24"/>
          <w:szCs w:val="24"/>
          <w:lang w:val="lv-LV" w:eastAsia="lv-LV"/>
        </w:rPr>
        <w:t xml:space="preserve"> par neatkarīg</w:t>
      </w:r>
      <w:r w:rsidR="00513CBB">
        <w:rPr>
          <w:rFonts w:ascii="Times New Roman" w:hAnsi="Times New Roman"/>
          <w:b/>
          <w:bCs/>
          <w:sz w:val="24"/>
          <w:szCs w:val="24"/>
          <w:lang w:val="lv-LV" w:eastAsia="lv-LV"/>
        </w:rPr>
        <w:t>a</w:t>
      </w:r>
      <w:r w:rsidR="007866E2" w:rsidRPr="0061120F">
        <w:rPr>
          <w:rFonts w:ascii="Times New Roman" w:hAnsi="Times New Roman"/>
          <w:b/>
          <w:bCs/>
          <w:sz w:val="24"/>
          <w:szCs w:val="24"/>
          <w:lang w:val="lv-LV" w:eastAsia="lv-LV"/>
        </w:rPr>
        <w:t xml:space="preserve"> ekspert</w:t>
      </w:r>
      <w:r w:rsidR="00513CBB">
        <w:rPr>
          <w:rFonts w:ascii="Times New Roman" w:hAnsi="Times New Roman"/>
          <w:b/>
          <w:bCs/>
          <w:sz w:val="24"/>
          <w:szCs w:val="24"/>
          <w:lang w:val="lv-LV" w:eastAsia="lv-LV"/>
        </w:rPr>
        <w:t>a ēku energoefektivitātes jomā</w:t>
      </w:r>
      <w:r w:rsidR="007866E2" w:rsidRPr="0061120F">
        <w:rPr>
          <w:rFonts w:ascii="Times New Roman" w:hAnsi="Times New Roman"/>
          <w:b/>
          <w:bCs/>
          <w:sz w:val="24"/>
          <w:szCs w:val="24"/>
          <w:lang w:val="lv-LV" w:eastAsia="lv-LV"/>
        </w:rPr>
        <w:t xml:space="preserve"> kompetences novērtēšanu un profesionālās darbības uzraudzību</w:t>
      </w:r>
      <w:r w:rsidR="008E1347" w:rsidRPr="0061120F">
        <w:rPr>
          <w:rFonts w:ascii="Times New Roman" w:hAnsi="Times New Roman"/>
          <w:b/>
          <w:bCs/>
          <w:sz w:val="24"/>
          <w:szCs w:val="24"/>
          <w:lang w:val="lv-LV" w:eastAsia="lv-LV"/>
        </w:rPr>
        <w:t>”</w:t>
      </w:r>
      <w:r w:rsidR="008540F8">
        <w:rPr>
          <w:rFonts w:ascii="Times New Roman" w:hAnsi="Times New Roman"/>
          <w:b/>
          <w:bCs/>
          <w:sz w:val="24"/>
          <w:szCs w:val="24"/>
          <w:lang w:val="lv-LV" w:eastAsia="lv-LV"/>
        </w:rPr>
        <w:t xml:space="preserve"> </w:t>
      </w:r>
      <w:r w:rsidR="008E1347" w:rsidRPr="008E1347">
        <w:rPr>
          <w:rFonts w:ascii="Times New Roman" w:hAnsi="Times New Roman"/>
          <w:b/>
          <w:bCs/>
          <w:sz w:val="24"/>
          <w:szCs w:val="24"/>
          <w:lang w:val="lv-LV" w:eastAsia="lv-LV"/>
        </w:rPr>
        <w:t>sākotnējās ietekmes novērtējuma ziņojums (anotācija)</w:t>
      </w:r>
    </w:p>
    <w:p w14:paraId="16D7705A" w14:textId="703AF0EC" w:rsidR="00263BB9" w:rsidRPr="00252808" w:rsidRDefault="00263BB9" w:rsidP="00AD492D">
      <w:pPr>
        <w:pStyle w:val="Title"/>
        <w:tabs>
          <w:tab w:val="left" w:pos="6264"/>
        </w:tabs>
        <w:spacing w:before="130" w:line="260" w:lineRule="exact"/>
        <w:jc w:val="left"/>
        <w:rPr>
          <w:sz w:val="24"/>
          <w:szCs w:val="24"/>
        </w:rPr>
      </w:pP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3"/>
        <w:gridCol w:w="5774"/>
      </w:tblGrid>
      <w:tr w:rsidR="00B403F5" w:rsidRPr="00B403F5" w14:paraId="10E9FCEA" w14:textId="77777777" w:rsidTr="00551095">
        <w:trPr>
          <w:cantSplit/>
        </w:trPr>
        <w:tc>
          <w:tcPr>
            <w:tcW w:w="8817" w:type="dxa"/>
            <w:gridSpan w:val="2"/>
            <w:shd w:val="clear" w:color="auto" w:fill="FFFFFF"/>
            <w:vAlign w:val="center"/>
            <w:hideMark/>
          </w:tcPr>
          <w:p w14:paraId="133C71E4" w14:textId="77777777" w:rsidR="00BD5588" w:rsidRPr="00B403F5" w:rsidRDefault="00BD5588" w:rsidP="00E273A1">
            <w:pPr>
              <w:jc w:val="center"/>
              <w:rPr>
                <w:b/>
                <w:iCs/>
                <w:lang w:eastAsia="en-US"/>
              </w:rPr>
            </w:pPr>
            <w:r w:rsidRPr="00B403F5">
              <w:rPr>
                <w:b/>
                <w:iCs/>
                <w:lang w:eastAsia="en-US"/>
              </w:rPr>
              <w:t>Tiesību akta projekta anotācijas kopsavilkums</w:t>
            </w:r>
          </w:p>
        </w:tc>
      </w:tr>
      <w:tr w:rsidR="00B403F5" w:rsidRPr="00B403F5" w14:paraId="035F7F18" w14:textId="77777777" w:rsidTr="00551095">
        <w:trPr>
          <w:cantSplit/>
        </w:trPr>
        <w:tc>
          <w:tcPr>
            <w:tcW w:w="2996" w:type="dxa"/>
            <w:shd w:val="clear" w:color="auto" w:fill="FFFFFF"/>
            <w:hideMark/>
          </w:tcPr>
          <w:p w14:paraId="7B98629D" w14:textId="77777777" w:rsidR="00BD5588" w:rsidRPr="00B403F5" w:rsidRDefault="00BD5588" w:rsidP="00E273A1">
            <w:pPr>
              <w:rPr>
                <w:iCs/>
                <w:lang w:eastAsia="en-US"/>
              </w:rPr>
            </w:pPr>
            <w:r w:rsidRPr="00B403F5">
              <w:rPr>
                <w:iCs/>
                <w:lang w:eastAsia="en-US"/>
              </w:rPr>
              <w:t>Mērķis, risinājums un projekta spēkā stāšanās laiks (500 zīmes bez atstarpēm)</w:t>
            </w:r>
          </w:p>
        </w:tc>
        <w:tc>
          <w:tcPr>
            <w:tcW w:w="5821" w:type="dxa"/>
            <w:shd w:val="clear" w:color="auto" w:fill="FFFFFF"/>
            <w:hideMark/>
          </w:tcPr>
          <w:p w14:paraId="5D8BF2BC" w14:textId="3DFD8DA1" w:rsidR="0061120F" w:rsidRPr="00252808" w:rsidRDefault="0061120F" w:rsidP="00083FFB">
            <w:pPr>
              <w:jc w:val="both"/>
              <w:rPr>
                <w:bCs/>
              </w:rPr>
            </w:pPr>
            <w:r w:rsidRPr="00252808">
              <w:rPr>
                <w:bCs/>
              </w:rPr>
              <w:t xml:space="preserve">Noteikumu projekts paredz maksu, kuru </w:t>
            </w:r>
            <w:r w:rsidR="00252808" w:rsidRPr="00252808">
              <w:rPr>
                <w:bCs/>
              </w:rPr>
              <w:t>neatkarīg</w:t>
            </w:r>
            <w:r w:rsidR="00252808">
              <w:rPr>
                <w:bCs/>
              </w:rPr>
              <w:t>s</w:t>
            </w:r>
            <w:r w:rsidR="00252808" w:rsidRPr="00252808">
              <w:rPr>
                <w:bCs/>
              </w:rPr>
              <w:t xml:space="preserve"> </w:t>
            </w:r>
            <w:r w:rsidRPr="00252808">
              <w:rPr>
                <w:bCs/>
              </w:rPr>
              <w:t xml:space="preserve">ēku energoefektivitātes </w:t>
            </w:r>
            <w:r w:rsidR="00252808" w:rsidRPr="00252808">
              <w:rPr>
                <w:bCs/>
              </w:rPr>
              <w:t>ekspert</w:t>
            </w:r>
            <w:r w:rsidR="00252808">
              <w:rPr>
                <w:bCs/>
              </w:rPr>
              <w:t>s</w:t>
            </w:r>
            <w:r w:rsidR="00252808" w:rsidRPr="00252808">
              <w:rPr>
                <w:bCs/>
              </w:rPr>
              <w:t xml:space="preserve"> </w:t>
            </w:r>
            <w:r w:rsidRPr="00252808">
              <w:rPr>
                <w:bCs/>
              </w:rPr>
              <w:t>(turpmāk</w:t>
            </w:r>
            <w:r w:rsidR="00645A85" w:rsidRPr="00252808">
              <w:rPr>
                <w:bCs/>
              </w:rPr>
              <w:t xml:space="preserve"> - </w:t>
            </w:r>
            <w:r w:rsidRPr="00252808">
              <w:rPr>
                <w:bCs/>
              </w:rPr>
              <w:t xml:space="preserve">neatkarīgam ekspertam) veic par </w:t>
            </w:r>
            <w:r w:rsidR="006315E4" w:rsidRPr="00252808">
              <w:rPr>
                <w:bCs/>
              </w:rPr>
              <w:t xml:space="preserve">kompetences pārbaudes iestādes sniegtajiem pakalpojumiem - </w:t>
            </w:r>
            <w:r w:rsidRPr="00252808">
              <w:rPr>
                <w:bCs/>
              </w:rPr>
              <w:t>kompetences novērtēšanu un profesionālās darbības uzraudzību.</w:t>
            </w:r>
          </w:p>
          <w:p w14:paraId="0AEB63C7" w14:textId="1EA508EC" w:rsidR="00C60815" w:rsidRPr="005F1243" w:rsidRDefault="0061120F" w:rsidP="00083FFB">
            <w:pPr>
              <w:jc w:val="both"/>
              <w:rPr>
                <w:bCs/>
                <w:color w:val="FF0000"/>
              </w:rPr>
            </w:pPr>
            <w:r w:rsidRPr="00252808">
              <w:rPr>
                <w:bCs/>
              </w:rPr>
              <w:t>Projekts stājas spēkā vispārējā kārtībā.</w:t>
            </w:r>
          </w:p>
        </w:tc>
      </w:tr>
    </w:tbl>
    <w:p w14:paraId="268A1BA6" w14:textId="1B53712B" w:rsidR="004E4DD9" w:rsidRPr="00252808" w:rsidRDefault="004E4DD9" w:rsidP="00252808">
      <w:pPr>
        <w:pStyle w:val="Title"/>
        <w:spacing w:before="130" w:line="260" w:lineRule="exact"/>
        <w:ind w:hanging="142"/>
        <w:jc w:val="both"/>
        <w:rPr>
          <w:sz w:val="32"/>
          <w:szCs w:val="24"/>
        </w:rPr>
      </w:pPr>
    </w:p>
    <w:tbl>
      <w:tblPr>
        <w:tblW w:w="5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322"/>
        <w:gridCol w:w="2399"/>
        <w:gridCol w:w="6058"/>
      </w:tblGrid>
      <w:tr w:rsidR="00B403F5" w:rsidRPr="00B403F5" w14:paraId="792149BB" w14:textId="77777777" w:rsidTr="006315E4">
        <w:tc>
          <w:tcPr>
            <w:tcW w:w="5000" w:type="pct"/>
            <w:gridSpan w:val="3"/>
            <w:vAlign w:val="center"/>
            <w:hideMark/>
          </w:tcPr>
          <w:p w14:paraId="456CC729" w14:textId="77777777" w:rsidR="00BD5588" w:rsidRPr="00B403F5" w:rsidRDefault="00BD5588" w:rsidP="00793205">
            <w:pPr>
              <w:widowControl w:val="0"/>
              <w:jc w:val="center"/>
              <w:rPr>
                <w:b/>
                <w:bCs/>
              </w:rPr>
            </w:pPr>
            <w:r w:rsidRPr="00B403F5">
              <w:rPr>
                <w:b/>
                <w:bCs/>
              </w:rPr>
              <w:t>I. Tiesību akta projekta izstrādes nepieciešamība</w:t>
            </w:r>
          </w:p>
        </w:tc>
      </w:tr>
      <w:tr w:rsidR="0061120F" w:rsidRPr="00B403F5" w14:paraId="058E7E1A" w14:textId="77777777" w:rsidTr="0061120F">
        <w:tc>
          <w:tcPr>
            <w:tcW w:w="258" w:type="pct"/>
            <w:hideMark/>
          </w:tcPr>
          <w:p w14:paraId="0D168E70" w14:textId="77777777" w:rsidR="00BD5588" w:rsidRPr="00B403F5" w:rsidRDefault="00BD5588" w:rsidP="00793205">
            <w:pPr>
              <w:widowControl w:val="0"/>
              <w:jc w:val="center"/>
            </w:pPr>
            <w:r w:rsidRPr="00B403F5">
              <w:t>1.</w:t>
            </w:r>
          </w:p>
        </w:tc>
        <w:tc>
          <w:tcPr>
            <w:tcW w:w="1441" w:type="pct"/>
            <w:hideMark/>
          </w:tcPr>
          <w:p w14:paraId="356309C6" w14:textId="77777777" w:rsidR="00BD5588" w:rsidRPr="00B403F5" w:rsidRDefault="00BD5588" w:rsidP="00793205">
            <w:pPr>
              <w:widowControl w:val="0"/>
            </w:pPr>
            <w:r w:rsidRPr="00B403F5">
              <w:t>Pamatojums</w:t>
            </w:r>
          </w:p>
        </w:tc>
        <w:tc>
          <w:tcPr>
            <w:tcW w:w="3301" w:type="pct"/>
            <w:hideMark/>
          </w:tcPr>
          <w:p w14:paraId="337AB56A" w14:textId="712F8268" w:rsidR="00BD5588" w:rsidRPr="00B403F5" w:rsidRDefault="008E1347" w:rsidP="00F7335B">
            <w:pPr>
              <w:ind w:left="-35"/>
              <w:jc w:val="both"/>
              <w:rPr>
                <w:lang w:eastAsia="ru-RU"/>
              </w:rPr>
            </w:pPr>
            <w:r w:rsidRPr="00B403F5">
              <w:rPr>
                <w:lang w:eastAsia="ru-RU"/>
              </w:rPr>
              <w:t>Noteikumu projek</w:t>
            </w:r>
            <w:r w:rsidR="00083FFB">
              <w:rPr>
                <w:lang w:eastAsia="ru-RU"/>
              </w:rPr>
              <w:t xml:space="preserve">ts izstrādāts, pamatojoties uz </w:t>
            </w:r>
            <w:r w:rsidRPr="00B403F5">
              <w:rPr>
                <w:lang w:eastAsia="ru-RU"/>
              </w:rPr>
              <w:t>Ēku energoefektivitātes likuma 12.</w:t>
            </w:r>
            <w:r w:rsidR="00263BB9">
              <w:rPr>
                <w:lang w:eastAsia="ru-RU"/>
              </w:rPr>
              <w:t> </w:t>
            </w:r>
            <w:r w:rsidRPr="00B403F5">
              <w:rPr>
                <w:lang w:eastAsia="ru-RU"/>
              </w:rPr>
              <w:t>panta sesto daļu.</w:t>
            </w:r>
          </w:p>
        </w:tc>
      </w:tr>
      <w:tr w:rsidR="0061120F" w:rsidRPr="00B403F5" w14:paraId="6265A49B" w14:textId="77777777" w:rsidTr="0061120F">
        <w:tc>
          <w:tcPr>
            <w:tcW w:w="258" w:type="pct"/>
            <w:hideMark/>
          </w:tcPr>
          <w:p w14:paraId="46884FB6" w14:textId="77777777" w:rsidR="00BD5588" w:rsidRPr="00B403F5" w:rsidRDefault="00BD5588" w:rsidP="00793205">
            <w:pPr>
              <w:widowControl w:val="0"/>
            </w:pPr>
            <w:r w:rsidRPr="00B403F5">
              <w:t>2.</w:t>
            </w:r>
          </w:p>
        </w:tc>
        <w:tc>
          <w:tcPr>
            <w:tcW w:w="1441" w:type="pct"/>
            <w:hideMark/>
          </w:tcPr>
          <w:p w14:paraId="7666CFA8" w14:textId="77777777" w:rsidR="00BD5588" w:rsidRPr="00B403F5" w:rsidRDefault="00BD5588" w:rsidP="00793205">
            <w:pPr>
              <w:widowControl w:val="0"/>
            </w:pPr>
            <w:r w:rsidRPr="00B403F5">
              <w:t>Pašreizējā situācija un problēmas, kuru risināšanai tiesību akta projekts izstrādāts, tiesiskā regulējuma mērķis un būtība</w:t>
            </w:r>
          </w:p>
        </w:tc>
        <w:tc>
          <w:tcPr>
            <w:tcW w:w="3301" w:type="pct"/>
            <w:hideMark/>
          </w:tcPr>
          <w:p w14:paraId="591CE5C6" w14:textId="23784105" w:rsidR="00313A39" w:rsidRPr="00313A39" w:rsidRDefault="00252808" w:rsidP="00252808">
            <w:pPr>
              <w:widowControl w:val="0"/>
              <w:ind w:firstLine="247"/>
              <w:jc w:val="both"/>
              <w:rPr>
                <w:bCs/>
              </w:rPr>
            </w:pPr>
            <w:r>
              <w:rPr>
                <w:bCs/>
              </w:rPr>
              <w:t xml:space="preserve">Ar grozījumiem Ēku energoefektivitātes likumā, kas stājās spēkā </w:t>
            </w:r>
            <w:r w:rsidRPr="00313A39">
              <w:rPr>
                <w:bCs/>
              </w:rPr>
              <w:t>2017.</w:t>
            </w:r>
            <w:r>
              <w:rPr>
                <w:bCs/>
              </w:rPr>
              <w:t> </w:t>
            </w:r>
            <w:r w:rsidRPr="00313A39">
              <w:rPr>
                <w:bCs/>
              </w:rPr>
              <w:t xml:space="preserve">gada </w:t>
            </w:r>
            <w:r>
              <w:rPr>
                <w:bCs/>
              </w:rPr>
              <w:t>6</w:t>
            </w:r>
            <w:r w:rsidRPr="00313A39">
              <w:rPr>
                <w:bCs/>
              </w:rPr>
              <w:t>.</w:t>
            </w:r>
            <w:r>
              <w:rPr>
                <w:bCs/>
              </w:rPr>
              <w:t> </w:t>
            </w:r>
            <w:r w:rsidRPr="00313A39">
              <w:rPr>
                <w:bCs/>
              </w:rPr>
              <w:t>jūlijā</w:t>
            </w:r>
            <w:r>
              <w:rPr>
                <w:bCs/>
              </w:rPr>
              <w:t>, tika paredzēts</w:t>
            </w:r>
            <w:r w:rsidR="00313A39" w:rsidRPr="00313A39">
              <w:rPr>
                <w:bCs/>
              </w:rPr>
              <w:t>, ka neatkarīga eksperta kompetences apliecināšanas pārbaudes un profesionālās darbības uzraudzība tiek deleģēta privātpersonai Valsts pārvaldes iekārtas likumā noteiktajā kārtībā un neatkarīga eksperta kompetences novērtēšanu un profesionālās darbības uzraudzību īsteno pamatojoties uz Ministru kabineta apstiprinātu maksas pakalpojuma cenrādi.</w:t>
            </w:r>
          </w:p>
          <w:p w14:paraId="0B068C41" w14:textId="509F2B0B" w:rsidR="004454CA" w:rsidRDefault="00313A39" w:rsidP="00252808">
            <w:pPr>
              <w:autoSpaceDE w:val="0"/>
              <w:autoSpaceDN w:val="0"/>
              <w:adjustRightInd w:val="0"/>
              <w:ind w:firstLine="247"/>
              <w:jc w:val="both"/>
              <w:rPr>
                <w:bCs/>
              </w:rPr>
            </w:pPr>
            <w:r>
              <w:rPr>
                <w:bCs/>
              </w:rPr>
              <w:t xml:space="preserve">Līdz ar to noteikumu projekts izstrādāts, lai </w:t>
            </w:r>
            <w:r w:rsidR="00637891">
              <w:rPr>
                <w:bCs/>
              </w:rPr>
              <w:t>saskaņā ar Ēku energoefektivitātes likuma 12.panta sesto daļu</w:t>
            </w:r>
            <w:r w:rsidR="00771037">
              <w:rPr>
                <w:bCs/>
              </w:rPr>
              <w:t>,</w:t>
            </w:r>
            <w:r w:rsidR="00637891">
              <w:rPr>
                <w:bCs/>
              </w:rPr>
              <w:t xml:space="preserve"> </w:t>
            </w:r>
            <w:r>
              <w:rPr>
                <w:bCs/>
              </w:rPr>
              <w:t>noteiktu</w:t>
            </w:r>
            <w:r w:rsidR="0061120F">
              <w:rPr>
                <w:bCs/>
              </w:rPr>
              <w:t xml:space="preserve"> </w:t>
            </w:r>
            <w:r w:rsidR="00DC6DF0" w:rsidRPr="001C5838">
              <w:rPr>
                <w:bCs/>
              </w:rPr>
              <w:t>samaksu</w:t>
            </w:r>
            <w:r w:rsidR="0061120F">
              <w:rPr>
                <w:bCs/>
              </w:rPr>
              <w:t>, kuru neatkarīgam ekspertam jāveic par kompetences pārbaudes iestādes sniegtajiem pakalpojumiem – kompetences pārbaudi un profesionālās darbības uzraudzību</w:t>
            </w:r>
            <w:r w:rsidR="00DC6DF0" w:rsidRPr="001C5838">
              <w:rPr>
                <w:bCs/>
              </w:rPr>
              <w:t xml:space="preserve">. </w:t>
            </w:r>
          </w:p>
          <w:p w14:paraId="3F590A50" w14:textId="1F09C37C" w:rsidR="00F92974" w:rsidRDefault="00637891" w:rsidP="00637891">
            <w:pPr>
              <w:autoSpaceDE w:val="0"/>
              <w:autoSpaceDN w:val="0"/>
              <w:adjustRightInd w:val="0"/>
              <w:ind w:firstLine="247"/>
              <w:jc w:val="both"/>
              <w:rPr>
                <w:bCs/>
              </w:rPr>
            </w:pPr>
            <w:r>
              <w:rPr>
                <w:bCs/>
              </w:rPr>
              <w:t xml:space="preserve">Vienlaikus </w:t>
            </w:r>
            <w:r w:rsidR="00771037">
              <w:rPr>
                <w:bCs/>
              </w:rPr>
              <w:t xml:space="preserve">saskaņā ar Ēku energoefektivitātes likuma 12.panta sesto daļu </w:t>
            </w:r>
            <w:r w:rsidR="006D1F79">
              <w:rPr>
                <w:bCs/>
              </w:rPr>
              <w:t>Ministru kabineta 2018.</w:t>
            </w:r>
            <w:r w:rsidR="006D1E64">
              <w:rPr>
                <w:bCs/>
              </w:rPr>
              <w:t> </w:t>
            </w:r>
            <w:r w:rsidR="006D1F79">
              <w:rPr>
                <w:bCs/>
              </w:rPr>
              <w:t>gada 21.</w:t>
            </w:r>
            <w:r w:rsidR="006D1E64">
              <w:rPr>
                <w:bCs/>
              </w:rPr>
              <w:t> </w:t>
            </w:r>
            <w:r w:rsidR="006D1F79">
              <w:rPr>
                <w:bCs/>
              </w:rPr>
              <w:t>augusta noteikum</w:t>
            </w:r>
            <w:r w:rsidR="00771037">
              <w:rPr>
                <w:bCs/>
              </w:rPr>
              <w:t>os</w:t>
            </w:r>
            <w:r w:rsidR="001A1094">
              <w:rPr>
                <w:bCs/>
              </w:rPr>
              <w:t xml:space="preserve"> Nr. 531</w:t>
            </w:r>
            <w:r w:rsidR="00313A39">
              <w:rPr>
                <w:bCs/>
              </w:rPr>
              <w:t xml:space="preserve"> </w:t>
            </w:r>
            <w:r w:rsidR="006D1F79">
              <w:rPr>
                <w:bCs/>
              </w:rPr>
              <w:t>“Noteikumi par neatkarīgu ekspertu kompetences novērtēšanu un profesionālās darbības uzraudzību ēku energoefektivitātes jomā” (turpmāk – noteikumi Nr.</w:t>
            </w:r>
            <w:r w:rsidR="006D1E64">
              <w:rPr>
                <w:bCs/>
              </w:rPr>
              <w:t> </w:t>
            </w:r>
            <w:r w:rsidR="006D1F79">
              <w:rPr>
                <w:bCs/>
              </w:rPr>
              <w:t>531)</w:t>
            </w:r>
            <w:r w:rsidR="00771037">
              <w:rPr>
                <w:bCs/>
              </w:rPr>
              <w:t xml:space="preserve"> ir noteikta</w:t>
            </w:r>
            <w:r w:rsidR="006D1F79">
              <w:rPr>
                <w:bCs/>
              </w:rPr>
              <w:t xml:space="preserve"> </w:t>
            </w:r>
            <w:r w:rsidR="001A1094" w:rsidRPr="00771037">
              <w:rPr>
                <w:bCs/>
              </w:rPr>
              <w:t>kārtīb</w:t>
            </w:r>
            <w:r w:rsidR="00771037">
              <w:rPr>
                <w:bCs/>
              </w:rPr>
              <w:t>a</w:t>
            </w:r>
            <w:r w:rsidR="001A1094" w:rsidRPr="00771037">
              <w:rPr>
                <w:bCs/>
              </w:rPr>
              <w:t xml:space="preserve"> kādā</w:t>
            </w:r>
            <w:r w:rsidR="00771037">
              <w:rPr>
                <w:bCs/>
              </w:rPr>
              <w:t xml:space="preserve"> persona</w:t>
            </w:r>
            <w:r w:rsidR="001A1094" w:rsidRPr="00771037">
              <w:rPr>
                <w:bCs/>
              </w:rPr>
              <w:t xml:space="preserve"> veic samaksu par neatkarīga eksperta kompetences novērtēšanu un profesionālās darbības uzraudzību, kā arī saņemto līdzekļu izmantošanas kārtību</w:t>
            </w:r>
            <w:r w:rsidR="00771037">
              <w:rPr>
                <w:bCs/>
              </w:rPr>
              <w:t>,</w:t>
            </w:r>
            <w:r w:rsidR="001A1094">
              <w:rPr>
                <w:bCs/>
              </w:rPr>
              <w:t xml:space="preserve"> </w:t>
            </w:r>
            <w:r w:rsidR="00F92974">
              <w:rPr>
                <w:bCs/>
              </w:rPr>
              <w:t>paredzot ka:</w:t>
            </w:r>
          </w:p>
          <w:p w14:paraId="73056226" w14:textId="20D2A30E" w:rsidR="00F92974" w:rsidRDefault="000A0164" w:rsidP="00F92974">
            <w:pPr>
              <w:pStyle w:val="ListParagraph"/>
              <w:numPr>
                <w:ilvl w:val="0"/>
                <w:numId w:val="24"/>
              </w:numPr>
              <w:autoSpaceDE w:val="0"/>
              <w:autoSpaceDN w:val="0"/>
              <w:adjustRightInd w:val="0"/>
              <w:jc w:val="both"/>
              <w:rPr>
                <w:bCs/>
              </w:rPr>
            </w:pPr>
            <w:r>
              <w:rPr>
                <w:bCs/>
              </w:rPr>
              <w:t>sertificēšanas</w:t>
            </w:r>
            <w:r w:rsidR="00F92974">
              <w:rPr>
                <w:bCs/>
              </w:rPr>
              <w:t xml:space="preserve"> pakalpojumu maksas apmērs sastāv no maksas par neatkarīga eksperta kompetences novērtēšanu un profesionālās darbības uzraudzības gada maksas;</w:t>
            </w:r>
          </w:p>
          <w:p w14:paraId="461442B2" w14:textId="0F189ACD" w:rsidR="00F92974" w:rsidRDefault="00F92974" w:rsidP="00F92974">
            <w:pPr>
              <w:pStyle w:val="ListParagraph"/>
              <w:numPr>
                <w:ilvl w:val="0"/>
                <w:numId w:val="24"/>
              </w:numPr>
              <w:autoSpaceDE w:val="0"/>
              <w:autoSpaceDN w:val="0"/>
              <w:adjustRightInd w:val="0"/>
              <w:jc w:val="both"/>
              <w:rPr>
                <w:bCs/>
              </w:rPr>
            </w:pPr>
            <w:r>
              <w:rPr>
                <w:bCs/>
              </w:rPr>
              <w:t>par sertificēšanas pakalpojumiem persona maksā pirms šo pakalpojumu saņemšanas;</w:t>
            </w:r>
          </w:p>
          <w:p w14:paraId="60C27943" w14:textId="7CCEBC59" w:rsidR="00F92974" w:rsidRPr="00AC35F7" w:rsidRDefault="00F92974" w:rsidP="00F92974">
            <w:pPr>
              <w:pStyle w:val="ListParagraph"/>
              <w:numPr>
                <w:ilvl w:val="0"/>
                <w:numId w:val="24"/>
              </w:numPr>
              <w:autoSpaceDE w:val="0"/>
              <w:autoSpaceDN w:val="0"/>
              <w:adjustRightInd w:val="0"/>
              <w:jc w:val="both"/>
              <w:rPr>
                <w:bCs/>
              </w:rPr>
            </w:pPr>
            <w:r>
              <w:rPr>
                <w:bCs/>
              </w:rPr>
              <w:t>k</w:t>
            </w:r>
            <w:r w:rsidRPr="00AC35F7">
              <w:rPr>
                <w:bCs/>
              </w:rPr>
              <w:t xml:space="preserve">alendāra gadā, kurā personai piešķirts neatkarīga eksperta sertifikāts, profesionālās darbības uzraudzības gada maksu persona maksā proporcionāli pilnu mēnešu </w:t>
            </w:r>
            <w:r w:rsidRPr="00AC35F7">
              <w:rPr>
                <w:bCs/>
              </w:rPr>
              <w:lastRenderedPageBreak/>
              <w:t>skaitam, kuros kompetences pārbaudes iestāde veiks neatkarīga eksperta profesionālās darbības uzraudzību</w:t>
            </w:r>
            <w:r>
              <w:rPr>
                <w:bCs/>
              </w:rPr>
              <w:t>;</w:t>
            </w:r>
          </w:p>
          <w:p w14:paraId="231755F3" w14:textId="6328930F" w:rsidR="00F92974" w:rsidRPr="00AC35F7" w:rsidRDefault="00F92974" w:rsidP="00F92974">
            <w:pPr>
              <w:pStyle w:val="ListParagraph"/>
              <w:numPr>
                <w:ilvl w:val="0"/>
                <w:numId w:val="24"/>
              </w:numPr>
              <w:autoSpaceDE w:val="0"/>
              <w:autoSpaceDN w:val="0"/>
              <w:adjustRightInd w:val="0"/>
              <w:jc w:val="both"/>
              <w:rPr>
                <w:bCs/>
              </w:rPr>
            </w:pPr>
            <w:r>
              <w:rPr>
                <w:bCs/>
              </w:rPr>
              <w:t>p</w:t>
            </w:r>
            <w:r w:rsidRPr="00AC35F7">
              <w:rPr>
                <w:bCs/>
              </w:rPr>
              <w:t>ar sertificēšanas pakalpojumiem saņemtos līdzekļus kompetences pārbaudes iestāde izmanto kompetences pārbaužu veikšanai un profesionālās darbības uzraudzībai.</w:t>
            </w:r>
          </w:p>
          <w:p w14:paraId="3525C308" w14:textId="4237F9C5" w:rsidR="001A1094" w:rsidRDefault="001A1094" w:rsidP="006D1E64">
            <w:pPr>
              <w:autoSpaceDE w:val="0"/>
              <w:autoSpaceDN w:val="0"/>
              <w:adjustRightInd w:val="0"/>
              <w:ind w:firstLine="247"/>
              <w:jc w:val="both"/>
              <w:rPr>
                <w:bCs/>
              </w:rPr>
            </w:pPr>
            <w:r>
              <w:rPr>
                <w:bCs/>
              </w:rPr>
              <w:t>Ņemot vērā, ka gan kompetences pārbaudes organizēšanai, gan profesionālās darbības uzraudzībai ir nepieciešams kompetences pārbaudes iestādes ekspertu darbs</w:t>
            </w:r>
            <w:r w:rsidR="004454CA">
              <w:rPr>
                <w:bCs/>
              </w:rPr>
              <w:t xml:space="preserve"> un citi resursi,</w:t>
            </w:r>
            <w:r>
              <w:rPr>
                <w:bCs/>
              </w:rPr>
              <w:t xml:space="preserve"> noteikumu projektā paredzēts noteikt samaksu par </w:t>
            </w:r>
            <w:r w:rsidR="006D1E64" w:rsidRPr="006D1E64">
              <w:rPr>
                <w:bCs/>
              </w:rPr>
              <w:t xml:space="preserve">kompetences pārbaudes </w:t>
            </w:r>
            <w:r w:rsidR="009A181D" w:rsidRPr="006D1E64">
              <w:rPr>
                <w:bCs/>
              </w:rPr>
              <w:t>iestādes</w:t>
            </w:r>
            <w:r w:rsidR="009A181D">
              <w:rPr>
                <w:bCs/>
              </w:rPr>
              <w:t xml:space="preserve"> sniegtajiem </w:t>
            </w:r>
            <w:r>
              <w:rPr>
                <w:bCs/>
              </w:rPr>
              <w:t>pakalpojumiem</w:t>
            </w:r>
            <w:r w:rsidR="00F92974">
              <w:rPr>
                <w:bCs/>
              </w:rPr>
              <w:t xml:space="preserve">, atbilstoši noteikumu Nr.531 40.punktam nosakot samaksu par </w:t>
            </w:r>
            <w:r w:rsidR="00450A96">
              <w:rPr>
                <w:bCs/>
              </w:rPr>
              <w:t xml:space="preserve">diviem pakalpojumiem - </w:t>
            </w:r>
            <w:r w:rsidR="00F92974">
              <w:rPr>
                <w:bCs/>
              </w:rPr>
              <w:t>neatkarīga eksperta kompetences novērtēšanu un profesionālās darbības uzraudzību.</w:t>
            </w:r>
          </w:p>
          <w:p w14:paraId="4F93F04D" w14:textId="5D183A1D" w:rsidR="00237226" w:rsidRPr="005D4622" w:rsidRDefault="00237226" w:rsidP="006D1E64">
            <w:pPr>
              <w:autoSpaceDE w:val="0"/>
              <w:autoSpaceDN w:val="0"/>
              <w:adjustRightInd w:val="0"/>
              <w:ind w:firstLine="247"/>
              <w:jc w:val="both"/>
              <w:rPr>
                <w:bCs/>
              </w:rPr>
            </w:pPr>
            <w:r w:rsidRPr="005D4622">
              <w:rPr>
                <w:bCs/>
              </w:rPr>
              <w:t>Izmaksu aprēķins par neatkarīga eksperta kompetences novērtēšanu un profesionālās darbības uzraudzību ir veikts atbilstoši Ministru kabineta 2011.</w:t>
            </w:r>
            <w:r w:rsidR="006D1E64">
              <w:rPr>
                <w:bCs/>
              </w:rPr>
              <w:t> </w:t>
            </w:r>
            <w:r w:rsidRPr="005D4622">
              <w:rPr>
                <w:bCs/>
              </w:rPr>
              <w:t>gada 3.</w:t>
            </w:r>
            <w:r w:rsidR="006D1E64">
              <w:rPr>
                <w:bCs/>
              </w:rPr>
              <w:t> </w:t>
            </w:r>
            <w:r w:rsidRPr="005D4622">
              <w:rPr>
                <w:bCs/>
              </w:rPr>
              <w:t>maija noteikumos Nr.</w:t>
            </w:r>
            <w:r w:rsidR="006D1E64">
              <w:rPr>
                <w:bCs/>
              </w:rPr>
              <w:t> </w:t>
            </w:r>
            <w:r w:rsidRPr="005D4622">
              <w:rPr>
                <w:bCs/>
              </w:rPr>
              <w:t>333 “Kārtība, kādā plānojami un uzskaitāmi ieņēmumi no maksas pakalpojumiem un ar šo pakalpojumu sniegšanu saistītie izdevumi, kā arī maksas pakalpojumu izcenojumu noteikšanas metodika un izcenojumu apstiprināšanas kārtība”.</w:t>
            </w:r>
            <w:r w:rsidR="00EE412D">
              <w:rPr>
                <w:bCs/>
              </w:rPr>
              <w:t xml:space="preserve"> Izmaksu aprēķinā ņemti vērā kompetences pārbaudes iestāžu, kuras veic neatkarīgu ekspertu kompetences novērtēšanu un profesionālās darbības uzraudzību, iesniegtie aprēķini.</w:t>
            </w:r>
          </w:p>
          <w:p w14:paraId="2B573298" w14:textId="77777777" w:rsidR="00142DF2" w:rsidRDefault="00142DF2" w:rsidP="002D3150">
            <w:pPr>
              <w:autoSpaceDE w:val="0"/>
              <w:autoSpaceDN w:val="0"/>
              <w:adjustRightInd w:val="0"/>
              <w:jc w:val="both"/>
              <w:rPr>
                <w:bCs/>
              </w:rPr>
            </w:pPr>
          </w:p>
          <w:p w14:paraId="05CECA0D" w14:textId="77777777" w:rsidR="00107FF0" w:rsidRPr="005F1243" w:rsidRDefault="00107FF0" w:rsidP="00107FF0">
            <w:pPr>
              <w:pStyle w:val="ListParagraph"/>
              <w:numPr>
                <w:ilvl w:val="0"/>
                <w:numId w:val="21"/>
              </w:numPr>
              <w:autoSpaceDE w:val="0"/>
              <w:autoSpaceDN w:val="0"/>
              <w:adjustRightInd w:val="0"/>
              <w:jc w:val="both"/>
              <w:rPr>
                <w:b/>
                <w:bCs/>
              </w:rPr>
            </w:pPr>
            <w:r w:rsidRPr="005F1243">
              <w:rPr>
                <w:b/>
                <w:bCs/>
              </w:rPr>
              <w:t>Maksas pakalpojuma aprēķins par neatkarīga eksperta kompetences novērtēšanu:</w:t>
            </w:r>
          </w:p>
          <w:p w14:paraId="4FD4A67C" w14:textId="057A4DAB" w:rsidR="001C5838" w:rsidRPr="001C5838" w:rsidRDefault="001C5838" w:rsidP="006D1E64">
            <w:pPr>
              <w:pStyle w:val="NormalWeb"/>
              <w:spacing w:before="0" w:beforeAutospacing="0" w:after="0" w:afterAutospacing="0"/>
              <w:ind w:firstLine="247"/>
              <w:jc w:val="both"/>
              <w:rPr>
                <w:rFonts w:ascii="Times New Roman" w:hAnsi="Times New Roman"/>
                <w:sz w:val="24"/>
                <w:lang w:val="lv-LV"/>
              </w:rPr>
            </w:pPr>
            <w:r w:rsidRPr="005F1243">
              <w:rPr>
                <w:rFonts w:ascii="Times New Roman" w:hAnsi="Times New Roman"/>
                <w:bCs/>
                <w:sz w:val="24"/>
                <w:szCs w:val="24"/>
                <w:lang w:val="lv-LV" w:eastAsia="lv-LV"/>
              </w:rPr>
              <w:t>Noteikumi Nr.</w:t>
            </w:r>
            <w:r w:rsidR="006D1E64">
              <w:rPr>
                <w:rFonts w:ascii="Times New Roman" w:hAnsi="Times New Roman"/>
                <w:bCs/>
                <w:sz w:val="24"/>
                <w:szCs w:val="24"/>
                <w:lang w:val="lv-LV" w:eastAsia="lv-LV"/>
              </w:rPr>
              <w:t> </w:t>
            </w:r>
            <w:r w:rsidRPr="005F1243">
              <w:rPr>
                <w:rFonts w:ascii="Times New Roman" w:hAnsi="Times New Roman"/>
                <w:bCs/>
                <w:sz w:val="24"/>
                <w:szCs w:val="24"/>
                <w:lang w:val="lv-LV" w:eastAsia="lv-LV"/>
              </w:rPr>
              <w:t>531 nosaka, ka</w:t>
            </w:r>
            <w:r>
              <w:rPr>
                <w:rFonts w:ascii="Times New Roman" w:hAnsi="Times New Roman"/>
                <w:bCs/>
                <w:sz w:val="24"/>
                <w:szCs w:val="24"/>
                <w:lang w:val="lv-LV" w:eastAsia="lv-LV"/>
              </w:rPr>
              <w:t xml:space="preserve"> neatkarīgs eksperts ir tiesīgs</w:t>
            </w:r>
            <w:r w:rsidRPr="005F1243">
              <w:rPr>
                <w:rFonts w:ascii="Times New Roman" w:hAnsi="Times New Roman"/>
                <w:bCs/>
                <w:sz w:val="24"/>
                <w:szCs w:val="24"/>
                <w:lang w:val="lv-LV" w:eastAsia="lv-LV"/>
              </w:rPr>
              <w:t xml:space="preserve"> noteikt ekspluatējamās ēkas vai tās daļas energoefektivitāti un izsniegt ēkas energosertifikātu vai noteikt projektējamas, rekonstruējamas vai renovējamas ēkas vai tās daļas plānoto energoefektivitāti un izsniegt</w:t>
            </w:r>
            <w:r w:rsidRPr="001C5838">
              <w:rPr>
                <w:rFonts w:ascii="Times New Roman" w:hAnsi="Times New Roman"/>
                <w:bCs/>
                <w:sz w:val="24"/>
                <w:szCs w:val="24"/>
                <w:lang w:val="lv-LV" w:eastAsia="lv-LV"/>
              </w:rPr>
              <w:t xml:space="preserve"> ēkas pagaidu energosertifikātu vai </w:t>
            </w:r>
            <w:r>
              <w:rPr>
                <w:rFonts w:ascii="Times New Roman" w:hAnsi="Times New Roman"/>
                <w:bCs/>
                <w:sz w:val="24"/>
                <w:szCs w:val="24"/>
                <w:lang w:val="lv-LV" w:eastAsia="lv-LV"/>
              </w:rPr>
              <w:t xml:space="preserve">veikt </w:t>
            </w:r>
            <w:r w:rsidRPr="005F1243">
              <w:rPr>
                <w:rFonts w:ascii="Times New Roman" w:hAnsi="Times New Roman"/>
                <w:sz w:val="24"/>
                <w:lang w:val="lv-LV"/>
              </w:rPr>
              <w:t>apkures sistēmu un gaisa kondicionēša</w:t>
            </w:r>
            <w:r w:rsidRPr="001C5838">
              <w:rPr>
                <w:rFonts w:ascii="Times New Roman" w:hAnsi="Times New Roman"/>
                <w:sz w:val="24"/>
                <w:lang w:val="lv-LV"/>
              </w:rPr>
              <w:t>nas sistēmu pārbaudi, ja viņš ir:</w:t>
            </w:r>
          </w:p>
          <w:p w14:paraId="29F852F6" w14:textId="478C0ACF" w:rsidR="001C5838" w:rsidRPr="005F1243" w:rsidRDefault="001C5838" w:rsidP="005F1243">
            <w:pPr>
              <w:pStyle w:val="NormalWeb"/>
              <w:numPr>
                <w:ilvl w:val="0"/>
                <w:numId w:val="20"/>
              </w:numPr>
              <w:spacing w:before="0" w:beforeAutospacing="0" w:after="0" w:afterAutospacing="0"/>
              <w:jc w:val="both"/>
              <w:rPr>
                <w:rFonts w:ascii="Times New Roman" w:hAnsi="Times New Roman"/>
                <w:bCs/>
                <w:sz w:val="24"/>
                <w:szCs w:val="24"/>
                <w:lang w:val="lv-LV" w:eastAsia="lv-LV"/>
              </w:rPr>
            </w:pPr>
            <w:r>
              <w:rPr>
                <w:rFonts w:ascii="Times New Roman" w:hAnsi="Times New Roman"/>
                <w:sz w:val="24"/>
                <w:lang w:val="lv-LV"/>
              </w:rPr>
              <w:t xml:space="preserve">ieguvis </w:t>
            </w:r>
            <w:r w:rsidR="00D850E4">
              <w:rPr>
                <w:rFonts w:ascii="Times New Roman" w:hAnsi="Times New Roman"/>
                <w:sz w:val="24"/>
                <w:lang w:val="lv-LV"/>
              </w:rPr>
              <w:t>noteikumu Nr.531 2.1. vai 3.1.apakšpunktā</w:t>
            </w:r>
            <w:r>
              <w:rPr>
                <w:rFonts w:ascii="Times New Roman" w:hAnsi="Times New Roman"/>
                <w:sz w:val="24"/>
                <w:lang w:val="lv-LV"/>
              </w:rPr>
              <w:t xml:space="preserve"> noteikto izglītību</w:t>
            </w:r>
            <w:r w:rsidR="00D850E4">
              <w:rPr>
                <w:rFonts w:ascii="Times New Roman" w:hAnsi="Times New Roman"/>
                <w:sz w:val="24"/>
                <w:lang w:val="lv-LV"/>
              </w:rPr>
              <w:t>;</w:t>
            </w:r>
          </w:p>
          <w:p w14:paraId="65C15CB7" w14:textId="66A512F6" w:rsidR="001C5838" w:rsidRPr="005F1243" w:rsidRDefault="001C5838" w:rsidP="005F1243">
            <w:pPr>
              <w:pStyle w:val="NormalWeb"/>
              <w:numPr>
                <w:ilvl w:val="0"/>
                <w:numId w:val="20"/>
              </w:numPr>
              <w:spacing w:before="0" w:beforeAutospacing="0" w:after="0" w:afterAutospacing="0"/>
              <w:jc w:val="both"/>
              <w:rPr>
                <w:rFonts w:ascii="Times New Roman" w:hAnsi="Times New Roman"/>
                <w:bCs/>
                <w:sz w:val="24"/>
                <w:szCs w:val="24"/>
                <w:lang w:val="lv-LV" w:eastAsia="lv-LV"/>
              </w:rPr>
            </w:pPr>
            <w:r>
              <w:rPr>
                <w:rFonts w:ascii="Times New Roman" w:hAnsi="Times New Roman"/>
                <w:sz w:val="24"/>
                <w:lang w:val="lv-LV"/>
              </w:rPr>
              <w:t xml:space="preserve">ieguvis </w:t>
            </w:r>
            <w:r w:rsidR="00D850E4">
              <w:rPr>
                <w:rFonts w:ascii="Times New Roman" w:hAnsi="Times New Roman"/>
                <w:sz w:val="24"/>
                <w:lang w:val="lv-LV"/>
              </w:rPr>
              <w:t>noteikumu 2.2. vai 3.2. apakšpunktā m</w:t>
            </w:r>
            <w:r w:rsidR="00F564CC">
              <w:rPr>
                <w:rFonts w:ascii="Times New Roman" w:hAnsi="Times New Roman"/>
                <w:sz w:val="24"/>
                <w:lang w:val="lv-LV"/>
              </w:rPr>
              <w:t>inēto</w:t>
            </w:r>
            <w:r w:rsidR="00D850E4">
              <w:rPr>
                <w:rFonts w:ascii="Times New Roman" w:hAnsi="Times New Roman"/>
                <w:sz w:val="24"/>
                <w:lang w:val="lv-LV"/>
              </w:rPr>
              <w:t xml:space="preserve"> </w:t>
            </w:r>
            <w:r>
              <w:rPr>
                <w:rFonts w:ascii="Times New Roman" w:hAnsi="Times New Roman"/>
                <w:sz w:val="24"/>
                <w:lang w:val="lv-LV"/>
              </w:rPr>
              <w:t>praktisko pieredzi, strādājot neatkarīga eksperta vadībā</w:t>
            </w:r>
            <w:r w:rsidR="00D850E4">
              <w:rPr>
                <w:rFonts w:ascii="Times New Roman" w:hAnsi="Times New Roman"/>
                <w:sz w:val="24"/>
                <w:lang w:val="lv-LV"/>
              </w:rPr>
              <w:t>;</w:t>
            </w:r>
          </w:p>
          <w:p w14:paraId="4144C702" w14:textId="4B488540" w:rsidR="001C5838" w:rsidRDefault="001C5838" w:rsidP="005F1243">
            <w:pPr>
              <w:pStyle w:val="NormalWeb"/>
              <w:numPr>
                <w:ilvl w:val="0"/>
                <w:numId w:val="20"/>
              </w:numPr>
              <w:spacing w:before="0" w:beforeAutospacing="0" w:after="0" w:afterAutospacing="0"/>
              <w:jc w:val="both"/>
              <w:rPr>
                <w:rFonts w:ascii="Times New Roman" w:hAnsi="Times New Roman"/>
                <w:bCs/>
                <w:sz w:val="24"/>
                <w:szCs w:val="24"/>
                <w:lang w:val="lv-LV" w:eastAsia="lv-LV"/>
              </w:rPr>
            </w:pPr>
            <w:r>
              <w:rPr>
                <w:rFonts w:ascii="Times New Roman" w:hAnsi="Times New Roman"/>
                <w:sz w:val="24"/>
                <w:lang w:val="lv-LV"/>
              </w:rPr>
              <w:t>nokārtojis kompetences pārbaudi</w:t>
            </w:r>
            <w:r w:rsidR="00645A85">
              <w:rPr>
                <w:rFonts w:ascii="Times New Roman" w:hAnsi="Times New Roman"/>
                <w:sz w:val="24"/>
                <w:lang w:val="lv-LV"/>
              </w:rPr>
              <w:t>.</w:t>
            </w:r>
          </w:p>
          <w:p w14:paraId="3E523316" w14:textId="67CE049D" w:rsidR="00D850E4" w:rsidRDefault="001C5838" w:rsidP="006D1E64">
            <w:pPr>
              <w:pStyle w:val="NormalWeb"/>
              <w:spacing w:before="0" w:beforeAutospacing="0" w:after="0" w:afterAutospacing="0"/>
              <w:ind w:firstLine="247"/>
              <w:jc w:val="both"/>
              <w:rPr>
                <w:rFonts w:ascii="Times New Roman" w:hAnsi="Times New Roman"/>
                <w:bCs/>
                <w:sz w:val="24"/>
                <w:szCs w:val="24"/>
                <w:lang w:val="lv-LV" w:eastAsia="lv-LV"/>
              </w:rPr>
            </w:pPr>
            <w:r>
              <w:rPr>
                <w:rFonts w:ascii="Times New Roman" w:hAnsi="Times New Roman"/>
                <w:bCs/>
                <w:sz w:val="24"/>
                <w:szCs w:val="24"/>
                <w:lang w:val="lv-LV" w:eastAsia="lv-LV"/>
              </w:rPr>
              <w:t>Attiecīgi kompetences pārbaudes iestāde, izskatot personas pieteikumu</w:t>
            </w:r>
            <w:r w:rsidR="00645A85">
              <w:rPr>
                <w:rFonts w:ascii="Times New Roman" w:hAnsi="Times New Roman"/>
                <w:bCs/>
                <w:sz w:val="24"/>
                <w:szCs w:val="24"/>
                <w:lang w:val="lv-LV" w:eastAsia="lv-LV"/>
              </w:rPr>
              <w:t>,</w:t>
            </w:r>
            <w:r>
              <w:rPr>
                <w:rFonts w:ascii="Times New Roman" w:hAnsi="Times New Roman"/>
                <w:bCs/>
                <w:sz w:val="24"/>
                <w:szCs w:val="24"/>
                <w:lang w:val="lv-LV" w:eastAsia="lv-LV"/>
              </w:rPr>
              <w:t xml:space="preserve"> izvērtē personas izglītību, praktisko </w:t>
            </w:r>
            <w:r w:rsidR="00D850E4">
              <w:rPr>
                <w:rFonts w:ascii="Times New Roman" w:hAnsi="Times New Roman"/>
                <w:bCs/>
                <w:sz w:val="24"/>
                <w:szCs w:val="24"/>
                <w:lang w:val="lv-LV" w:eastAsia="lv-LV"/>
              </w:rPr>
              <w:t>pieredzi, kura</w:t>
            </w:r>
            <w:r>
              <w:rPr>
                <w:rFonts w:ascii="Times New Roman" w:hAnsi="Times New Roman"/>
                <w:bCs/>
                <w:sz w:val="24"/>
                <w:szCs w:val="24"/>
                <w:lang w:val="lv-LV" w:eastAsia="lv-LV"/>
              </w:rPr>
              <w:t xml:space="preserve"> atkarībā no iegūstamās jomas ir jāuzrāda pēdējo sešu</w:t>
            </w:r>
            <w:r w:rsidR="004454CA">
              <w:rPr>
                <w:rFonts w:ascii="Times New Roman" w:hAnsi="Times New Roman"/>
                <w:bCs/>
                <w:sz w:val="24"/>
                <w:szCs w:val="24"/>
                <w:lang w:val="lv-LV" w:eastAsia="lv-LV"/>
              </w:rPr>
              <w:t xml:space="preserve"> mēnešu</w:t>
            </w:r>
            <w:r>
              <w:rPr>
                <w:rFonts w:ascii="Times New Roman" w:hAnsi="Times New Roman"/>
                <w:bCs/>
                <w:sz w:val="24"/>
                <w:szCs w:val="24"/>
                <w:lang w:val="lv-LV" w:eastAsia="lv-LV"/>
              </w:rPr>
              <w:t xml:space="preserve"> līdz divu gadu periodā, kā arī iesniegtos aprēķinus.</w:t>
            </w:r>
            <w:r w:rsidR="004454CA">
              <w:rPr>
                <w:rFonts w:ascii="Times New Roman" w:hAnsi="Times New Roman"/>
                <w:bCs/>
                <w:sz w:val="24"/>
                <w:szCs w:val="24"/>
                <w:lang w:val="lv-LV" w:eastAsia="lv-LV"/>
              </w:rPr>
              <w:t xml:space="preserve"> </w:t>
            </w:r>
            <w:r w:rsidR="00EE412D">
              <w:rPr>
                <w:rFonts w:ascii="Times New Roman" w:hAnsi="Times New Roman"/>
                <w:bCs/>
                <w:sz w:val="24"/>
                <w:szCs w:val="24"/>
                <w:lang w:val="lv-LV" w:eastAsia="lv-LV"/>
              </w:rPr>
              <w:t>P</w:t>
            </w:r>
            <w:r w:rsidR="004454CA">
              <w:rPr>
                <w:rFonts w:ascii="Times New Roman" w:hAnsi="Times New Roman"/>
                <w:bCs/>
                <w:sz w:val="24"/>
                <w:szCs w:val="24"/>
                <w:lang w:val="lv-LV" w:eastAsia="lv-LV"/>
              </w:rPr>
              <w:t>ēc dokumentu izvērtēšanas</w:t>
            </w:r>
            <w:r>
              <w:rPr>
                <w:rFonts w:ascii="Times New Roman" w:hAnsi="Times New Roman"/>
                <w:bCs/>
                <w:sz w:val="24"/>
                <w:szCs w:val="24"/>
                <w:lang w:val="lv-LV" w:eastAsia="lv-LV"/>
              </w:rPr>
              <w:t>,</w:t>
            </w:r>
            <w:r w:rsidR="004454CA">
              <w:rPr>
                <w:rFonts w:ascii="Times New Roman" w:hAnsi="Times New Roman"/>
                <w:bCs/>
                <w:sz w:val="24"/>
                <w:szCs w:val="24"/>
                <w:lang w:val="lv-LV" w:eastAsia="lv-LV"/>
              </w:rPr>
              <w:t xml:space="preserve"> kompetences pārbaudes iestādei ir jānodrošina personas </w:t>
            </w:r>
            <w:r>
              <w:rPr>
                <w:rFonts w:ascii="Times New Roman" w:hAnsi="Times New Roman"/>
                <w:bCs/>
                <w:sz w:val="24"/>
                <w:szCs w:val="24"/>
                <w:lang w:val="lv-LV" w:eastAsia="lv-LV"/>
              </w:rPr>
              <w:t xml:space="preserve">kompetences pārbaude. </w:t>
            </w:r>
          </w:p>
          <w:p w14:paraId="0C5AF4E9" w14:textId="187256E1" w:rsidR="006D1F79" w:rsidRDefault="006D1F79" w:rsidP="005F1243">
            <w:pPr>
              <w:pStyle w:val="NormalWeb"/>
              <w:spacing w:before="0" w:beforeAutospacing="0" w:after="0" w:afterAutospacing="0"/>
              <w:jc w:val="both"/>
              <w:rPr>
                <w:rFonts w:ascii="Times New Roman" w:hAnsi="Times New Roman"/>
                <w:bCs/>
                <w:sz w:val="24"/>
                <w:szCs w:val="24"/>
                <w:lang w:val="lv-LV" w:eastAsia="lv-LV"/>
              </w:rPr>
            </w:pPr>
          </w:p>
          <w:p w14:paraId="757BAD1B" w14:textId="2312F6CD" w:rsidR="006D1F79" w:rsidRPr="005F1243" w:rsidRDefault="006D1F79" w:rsidP="005F1243">
            <w:pPr>
              <w:pStyle w:val="NormalWeb"/>
              <w:spacing w:before="0" w:beforeAutospacing="0" w:after="0" w:afterAutospacing="0"/>
              <w:jc w:val="both"/>
              <w:rPr>
                <w:rFonts w:ascii="Times New Roman" w:hAnsi="Times New Roman"/>
                <w:b/>
                <w:bCs/>
                <w:sz w:val="24"/>
                <w:szCs w:val="24"/>
                <w:lang w:val="lv-LV" w:eastAsia="lv-LV"/>
              </w:rPr>
            </w:pPr>
            <w:r w:rsidRPr="005F1243">
              <w:rPr>
                <w:rFonts w:ascii="Times New Roman" w:hAnsi="Times New Roman"/>
                <w:b/>
                <w:bCs/>
                <w:sz w:val="24"/>
                <w:szCs w:val="24"/>
                <w:lang w:val="lv-LV" w:eastAsia="lv-LV"/>
              </w:rPr>
              <w:t>Tiešo izmaksu aprēķins</w:t>
            </w:r>
            <w:r w:rsidR="00645A85">
              <w:rPr>
                <w:rFonts w:ascii="Times New Roman" w:hAnsi="Times New Roman"/>
                <w:b/>
                <w:bCs/>
                <w:sz w:val="24"/>
                <w:szCs w:val="24"/>
                <w:lang w:val="lv-LV" w:eastAsia="lv-LV"/>
              </w:rPr>
              <w:t xml:space="preserve"> par neatkarīga eksperta kompetences novērtēšanu</w:t>
            </w:r>
            <w:r w:rsidRPr="005F1243">
              <w:rPr>
                <w:rFonts w:ascii="Times New Roman" w:hAnsi="Times New Roman"/>
                <w:b/>
                <w:bCs/>
                <w:sz w:val="24"/>
                <w:szCs w:val="24"/>
                <w:lang w:val="lv-LV" w:eastAsia="lv-LV"/>
              </w:rPr>
              <w:t>:</w:t>
            </w:r>
          </w:p>
          <w:tbl>
            <w:tblPr>
              <w:tblStyle w:val="TableGrid"/>
              <w:tblW w:w="0" w:type="auto"/>
              <w:tblLook w:val="04A0" w:firstRow="1" w:lastRow="0" w:firstColumn="1" w:lastColumn="0" w:noHBand="0" w:noVBand="1"/>
            </w:tblPr>
            <w:tblGrid>
              <w:gridCol w:w="1203"/>
              <w:gridCol w:w="1106"/>
              <w:gridCol w:w="974"/>
              <w:gridCol w:w="1492"/>
              <w:gridCol w:w="1213"/>
            </w:tblGrid>
            <w:tr w:rsidR="0061120F" w14:paraId="7F6E361B" w14:textId="72699172" w:rsidTr="000F36D4">
              <w:tc>
                <w:tcPr>
                  <w:tcW w:w="1217" w:type="dxa"/>
                </w:tcPr>
                <w:p w14:paraId="7915BB54" w14:textId="478B4B87" w:rsidR="006D1F79" w:rsidRPr="000F36D4" w:rsidRDefault="006D1F79" w:rsidP="005F1243">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lastRenderedPageBreak/>
                    <w:t xml:space="preserve">Rādītājs </w:t>
                  </w:r>
                  <w:r w:rsidRPr="00585162">
                    <w:rPr>
                      <w:rFonts w:ascii="Times New Roman" w:hAnsi="Times New Roman"/>
                      <w:bCs/>
                      <w:i/>
                      <w:sz w:val="22"/>
                      <w:szCs w:val="22"/>
                      <w:lang w:val="lv-LV" w:eastAsia="lv-LV"/>
                    </w:rPr>
                    <w:t>(izmaksu veids)</w:t>
                  </w:r>
                </w:p>
              </w:tc>
              <w:tc>
                <w:tcPr>
                  <w:tcW w:w="1112" w:type="dxa"/>
                </w:tcPr>
                <w:p w14:paraId="51C07336" w14:textId="7F343E64" w:rsidR="006D1F79" w:rsidRPr="000F36D4" w:rsidRDefault="006D1F79" w:rsidP="005F1243">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Gadījumu skaits</w:t>
                  </w:r>
                </w:p>
              </w:tc>
              <w:tc>
                <w:tcPr>
                  <w:tcW w:w="883" w:type="dxa"/>
                </w:tcPr>
                <w:p w14:paraId="71170E71" w14:textId="00F5459E" w:rsidR="006D1F79" w:rsidRPr="000F36D4" w:rsidRDefault="006D1F79" w:rsidP="005F1243">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Stundu likme</w:t>
                  </w:r>
                </w:p>
                <w:p w14:paraId="5F10B575" w14:textId="1DDE52AB" w:rsidR="006D1F79" w:rsidRPr="00585162" w:rsidRDefault="006D1F79" w:rsidP="005F1243">
                  <w:pPr>
                    <w:pStyle w:val="NormalWeb"/>
                    <w:spacing w:before="0" w:beforeAutospacing="0" w:after="0" w:afterAutospacing="0"/>
                    <w:jc w:val="center"/>
                    <w:rPr>
                      <w:rFonts w:ascii="Times New Roman" w:hAnsi="Times New Roman"/>
                      <w:bCs/>
                      <w:i/>
                      <w:sz w:val="22"/>
                      <w:szCs w:val="22"/>
                      <w:lang w:val="lv-LV" w:eastAsia="lv-LV"/>
                    </w:rPr>
                  </w:pPr>
                  <w:r w:rsidRPr="00585162">
                    <w:rPr>
                      <w:rFonts w:ascii="Times New Roman" w:hAnsi="Times New Roman"/>
                      <w:bCs/>
                      <w:i/>
                      <w:sz w:val="22"/>
                      <w:szCs w:val="22"/>
                      <w:lang w:val="lv-LV" w:eastAsia="lv-LV"/>
                    </w:rPr>
                    <w:t>(Eur</w:t>
                  </w:r>
                  <w:r w:rsidR="003A0A85" w:rsidRPr="00585162">
                    <w:rPr>
                      <w:rFonts w:ascii="Times New Roman" w:hAnsi="Times New Roman"/>
                      <w:bCs/>
                      <w:i/>
                      <w:sz w:val="22"/>
                      <w:szCs w:val="22"/>
                      <w:lang w:val="lv-LV" w:eastAsia="lv-LV"/>
                    </w:rPr>
                    <w:t>o</w:t>
                  </w:r>
                  <w:r w:rsidRPr="00585162">
                    <w:rPr>
                      <w:rFonts w:ascii="Times New Roman" w:hAnsi="Times New Roman"/>
                      <w:bCs/>
                      <w:i/>
                      <w:sz w:val="22"/>
                      <w:szCs w:val="22"/>
                      <w:lang w:val="lv-LV" w:eastAsia="lv-LV"/>
                    </w:rPr>
                    <w:t>/h)</w:t>
                  </w:r>
                </w:p>
              </w:tc>
              <w:tc>
                <w:tcPr>
                  <w:tcW w:w="1580" w:type="dxa"/>
                </w:tcPr>
                <w:p w14:paraId="1F0E375A" w14:textId="5C7C7A44" w:rsidR="006D1F79" w:rsidRPr="000F36D4" w:rsidRDefault="006D1F79" w:rsidP="005F1243">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Plānotais laika ieguldījums pakalpojuma sniegšanai (h)</w:t>
                  </w:r>
                </w:p>
              </w:tc>
              <w:tc>
                <w:tcPr>
                  <w:tcW w:w="1374" w:type="dxa"/>
                </w:tcPr>
                <w:p w14:paraId="2022C516" w14:textId="77777777" w:rsidR="000F36D4" w:rsidRDefault="006D1F79" w:rsidP="005F1243">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 xml:space="preserve">Izmaksu apjoms gadā </w:t>
                  </w:r>
                </w:p>
                <w:p w14:paraId="56FDA671" w14:textId="75161DD2" w:rsidR="006D1F79" w:rsidRPr="00585162" w:rsidRDefault="000F36D4" w:rsidP="005F1243">
                  <w:pPr>
                    <w:pStyle w:val="NormalWeb"/>
                    <w:spacing w:before="0" w:beforeAutospacing="0" w:after="0" w:afterAutospacing="0"/>
                    <w:jc w:val="center"/>
                    <w:rPr>
                      <w:rFonts w:ascii="Times New Roman" w:hAnsi="Times New Roman"/>
                      <w:bCs/>
                      <w:i/>
                      <w:sz w:val="22"/>
                      <w:szCs w:val="22"/>
                      <w:lang w:val="lv-LV" w:eastAsia="lv-LV"/>
                    </w:rPr>
                  </w:pPr>
                  <w:r w:rsidRPr="00585162">
                    <w:rPr>
                      <w:rFonts w:ascii="Times New Roman" w:hAnsi="Times New Roman"/>
                      <w:bCs/>
                      <w:i/>
                      <w:sz w:val="22"/>
                      <w:szCs w:val="22"/>
                      <w:lang w:val="lv-LV" w:eastAsia="lv-LV"/>
                    </w:rPr>
                    <w:t>(E</w:t>
                  </w:r>
                  <w:r w:rsidR="0061120F" w:rsidRPr="00585162">
                    <w:rPr>
                      <w:rFonts w:ascii="Times New Roman" w:hAnsi="Times New Roman"/>
                      <w:bCs/>
                      <w:i/>
                      <w:sz w:val="22"/>
                      <w:szCs w:val="22"/>
                      <w:lang w:val="lv-LV" w:eastAsia="lv-LV"/>
                    </w:rPr>
                    <w:t>ur</w:t>
                  </w:r>
                  <w:r w:rsidR="003A0A85" w:rsidRPr="00585162">
                    <w:rPr>
                      <w:rFonts w:ascii="Times New Roman" w:hAnsi="Times New Roman"/>
                      <w:bCs/>
                      <w:i/>
                      <w:sz w:val="22"/>
                      <w:szCs w:val="22"/>
                      <w:lang w:val="lv-LV" w:eastAsia="lv-LV"/>
                    </w:rPr>
                    <w:t>o</w:t>
                  </w:r>
                  <w:r w:rsidRPr="00585162">
                    <w:rPr>
                      <w:rFonts w:ascii="Times New Roman" w:hAnsi="Times New Roman"/>
                      <w:bCs/>
                      <w:i/>
                      <w:sz w:val="22"/>
                      <w:szCs w:val="22"/>
                      <w:lang w:val="lv-LV" w:eastAsia="lv-LV"/>
                    </w:rPr>
                    <w:t>)</w:t>
                  </w:r>
                </w:p>
              </w:tc>
            </w:tr>
            <w:tr w:rsidR="0061120F" w14:paraId="0C486528" w14:textId="5BE729C5" w:rsidTr="000F36D4">
              <w:trPr>
                <w:trHeight w:val="561"/>
              </w:trPr>
              <w:tc>
                <w:tcPr>
                  <w:tcW w:w="1217" w:type="dxa"/>
                </w:tcPr>
                <w:p w14:paraId="421EB5C6" w14:textId="5B106409" w:rsidR="006D1F79" w:rsidRPr="000F36D4" w:rsidRDefault="00482898">
                  <w:pPr>
                    <w:pStyle w:val="NormalWeb"/>
                    <w:spacing w:before="0" w:beforeAutospacing="0" w:after="0" w:afterAutospacing="0"/>
                    <w:jc w:val="both"/>
                    <w:rPr>
                      <w:rFonts w:ascii="Times New Roman" w:hAnsi="Times New Roman"/>
                      <w:bCs/>
                      <w:sz w:val="22"/>
                      <w:szCs w:val="22"/>
                      <w:lang w:val="lv-LV" w:eastAsia="lv-LV"/>
                    </w:rPr>
                  </w:pPr>
                  <w:r w:rsidRPr="000F36D4">
                    <w:rPr>
                      <w:rFonts w:ascii="Times New Roman" w:hAnsi="Times New Roman"/>
                      <w:bCs/>
                      <w:sz w:val="22"/>
                      <w:szCs w:val="22"/>
                      <w:lang w:val="lv-LV" w:eastAsia="lv-LV"/>
                    </w:rPr>
                    <w:t>Ekspertu atalgojums</w:t>
                  </w:r>
                </w:p>
              </w:tc>
              <w:tc>
                <w:tcPr>
                  <w:tcW w:w="1112" w:type="dxa"/>
                </w:tcPr>
                <w:p w14:paraId="2F305275" w14:textId="4EAD662C" w:rsidR="006D1F79" w:rsidRPr="000F36D4" w:rsidRDefault="00482898" w:rsidP="005F1243">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33</w:t>
                  </w:r>
                </w:p>
              </w:tc>
              <w:tc>
                <w:tcPr>
                  <w:tcW w:w="883" w:type="dxa"/>
                </w:tcPr>
                <w:p w14:paraId="6BD83110" w14:textId="3B35D3A4" w:rsidR="006D1F79" w:rsidRPr="000F36D4" w:rsidRDefault="00482898" w:rsidP="005F1243">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50</w:t>
                  </w:r>
                </w:p>
              </w:tc>
              <w:tc>
                <w:tcPr>
                  <w:tcW w:w="1580" w:type="dxa"/>
                </w:tcPr>
                <w:p w14:paraId="5FDF157E" w14:textId="1B0507D5" w:rsidR="006D1F79" w:rsidRPr="000F36D4" w:rsidRDefault="00482898" w:rsidP="005F1243">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3</w:t>
                  </w:r>
                </w:p>
              </w:tc>
              <w:tc>
                <w:tcPr>
                  <w:tcW w:w="1374" w:type="dxa"/>
                </w:tcPr>
                <w:p w14:paraId="4E3A59E9" w14:textId="2C03B110" w:rsidR="006D1F79" w:rsidRPr="000F36D4" w:rsidRDefault="00482898" w:rsidP="005F1243">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4950</w:t>
                  </w:r>
                </w:p>
              </w:tc>
            </w:tr>
          </w:tbl>
          <w:p w14:paraId="6B451A5C" w14:textId="24AC87C8" w:rsidR="00482898" w:rsidRDefault="00482898" w:rsidP="005F1243">
            <w:pPr>
              <w:pStyle w:val="NormalWeb"/>
              <w:spacing w:before="0" w:beforeAutospacing="0" w:after="0" w:afterAutospacing="0"/>
              <w:jc w:val="both"/>
              <w:rPr>
                <w:rFonts w:ascii="Times New Roman" w:hAnsi="Times New Roman"/>
                <w:bCs/>
                <w:sz w:val="24"/>
                <w:szCs w:val="24"/>
                <w:lang w:val="lv-LV" w:eastAsia="lv-LV"/>
              </w:rPr>
            </w:pPr>
          </w:p>
          <w:p w14:paraId="1B0C9807" w14:textId="0CBEE54F" w:rsidR="00482898" w:rsidRDefault="00482898" w:rsidP="006D1E64">
            <w:pPr>
              <w:pStyle w:val="NormalWeb"/>
              <w:spacing w:before="0" w:beforeAutospacing="0" w:after="0" w:afterAutospacing="0"/>
              <w:ind w:firstLine="388"/>
              <w:jc w:val="both"/>
              <w:rPr>
                <w:rFonts w:ascii="Times New Roman" w:hAnsi="Times New Roman"/>
                <w:bCs/>
                <w:sz w:val="24"/>
                <w:szCs w:val="24"/>
                <w:lang w:val="lv-LV" w:eastAsia="lv-LV"/>
              </w:rPr>
            </w:pPr>
            <w:r>
              <w:rPr>
                <w:rFonts w:ascii="Times New Roman" w:hAnsi="Times New Roman"/>
                <w:bCs/>
                <w:sz w:val="24"/>
                <w:szCs w:val="24"/>
                <w:lang w:val="lv-LV" w:eastAsia="lv-LV"/>
              </w:rPr>
              <w:t xml:space="preserve">Tiešo izmaksu aprēķinā iekļauts ekspertu atalgojums, kas apzinot divu </w:t>
            </w:r>
            <w:r w:rsidR="00142DF2">
              <w:rPr>
                <w:rFonts w:ascii="Times New Roman" w:hAnsi="Times New Roman"/>
                <w:bCs/>
                <w:sz w:val="24"/>
                <w:szCs w:val="24"/>
                <w:lang w:val="lv-LV" w:eastAsia="lv-LV"/>
              </w:rPr>
              <w:t xml:space="preserve">kompetences pārbaudes </w:t>
            </w:r>
            <w:r>
              <w:rPr>
                <w:rFonts w:ascii="Times New Roman" w:hAnsi="Times New Roman"/>
                <w:bCs/>
                <w:sz w:val="24"/>
                <w:szCs w:val="24"/>
                <w:lang w:val="lv-LV" w:eastAsia="lv-LV"/>
              </w:rPr>
              <w:t xml:space="preserve">iestāžu ekspertu atalgojumu </w:t>
            </w:r>
            <w:r w:rsidR="00645A85">
              <w:rPr>
                <w:rFonts w:ascii="Times New Roman" w:hAnsi="Times New Roman"/>
                <w:bCs/>
                <w:sz w:val="24"/>
                <w:szCs w:val="24"/>
                <w:lang w:val="lv-LV" w:eastAsia="lv-LV"/>
              </w:rPr>
              <w:t>(</w:t>
            </w:r>
            <w:r>
              <w:rPr>
                <w:rFonts w:ascii="Times New Roman" w:hAnsi="Times New Roman"/>
                <w:bCs/>
                <w:sz w:val="24"/>
                <w:szCs w:val="24"/>
                <w:lang w:val="lv-LV" w:eastAsia="lv-LV"/>
              </w:rPr>
              <w:t>dažādās darbības jomās</w:t>
            </w:r>
            <w:r w:rsidR="00645A85">
              <w:rPr>
                <w:rFonts w:ascii="Times New Roman" w:hAnsi="Times New Roman"/>
                <w:bCs/>
                <w:sz w:val="24"/>
                <w:szCs w:val="24"/>
                <w:lang w:val="lv-LV" w:eastAsia="lv-LV"/>
              </w:rPr>
              <w:t xml:space="preserve">) </w:t>
            </w:r>
            <w:r>
              <w:rPr>
                <w:rFonts w:ascii="Times New Roman" w:hAnsi="Times New Roman"/>
                <w:bCs/>
                <w:sz w:val="24"/>
                <w:szCs w:val="24"/>
                <w:lang w:val="lv-LV" w:eastAsia="lv-LV"/>
              </w:rPr>
              <w:t xml:space="preserve">ir 50 </w:t>
            </w:r>
            <w:r w:rsidRPr="00D354CC">
              <w:rPr>
                <w:rFonts w:ascii="Times New Roman" w:hAnsi="Times New Roman"/>
                <w:bCs/>
                <w:i/>
                <w:sz w:val="24"/>
                <w:szCs w:val="24"/>
                <w:lang w:val="lv-LV" w:eastAsia="lv-LV"/>
              </w:rPr>
              <w:t>euro</w:t>
            </w:r>
            <w:r>
              <w:rPr>
                <w:rFonts w:ascii="Times New Roman" w:hAnsi="Times New Roman"/>
                <w:bCs/>
                <w:sz w:val="24"/>
                <w:szCs w:val="24"/>
                <w:lang w:val="lv-LV" w:eastAsia="lv-LV"/>
              </w:rPr>
              <w:t>/h (ieskaitot nodokļu maksājumus).</w:t>
            </w:r>
          </w:p>
          <w:p w14:paraId="33D7BF3A" w14:textId="6D75C34B" w:rsidR="00482898" w:rsidRDefault="00482898" w:rsidP="006D1E64">
            <w:pPr>
              <w:pStyle w:val="NormalWeb"/>
              <w:spacing w:before="0" w:beforeAutospacing="0" w:after="0" w:afterAutospacing="0"/>
              <w:ind w:firstLine="247"/>
              <w:jc w:val="both"/>
              <w:rPr>
                <w:rFonts w:ascii="Times New Roman" w:hAnsi="Times New Roman"/>
                <w:bCs/>
                <w:sz w:val="24"/>
                <w:szCs w:val="24"/>
                <w:lang w:val="lv-LV" w:eastAsia="lv-LV"/>
              </w:rPr>
            </w:pPr>
            <w:r>
              <w:rPr>
                <w:rFonts w:ascii="Times New Roman" w:hAnsi="Times New Roman"/>
                <w:bCs/>
                <w:sz w:val="24"/>
                <w:szCs w:val="24"/>
                <w:lang w:val="lv-LV" w:eastAsia="lv-LV"/>
              </w:rPr>
              <w:t>Tiešo izmaksu aprēķinā tiek pieņemts, ka</w:t>
            </w:r>
            <w:r w:rsidR="0064755B">
              <w:rPr>
                <w:rFonts w:ascii="Times New Roman" w:hAnsi="Times New Roman"/>
                <w:bCs/>
                <w:sz w:val="24"/>
                <w:szCs w:val="24"/>
                <w:lang w:val="lv-LV" w:eastAsia="lv-LV"/>
              </w:rPr>
              <w:t xml:space="preserve"> 33</w:t>
            </w:r>
            <w:r>
              <w:rPr>
                <w:rFonts w:ascii="Times New Roman" w:hAnsi="Times New Roman"/>
                <w:bCs/>
                <w:sz w:val="24"/>
                <w:szCs w:val="24"/>
                <w:lang w:val="lv-LV" w:eastAsia="lv-LV"/>
              </w:rPr>
              <w:t xml:space="preserve"> personas gadā iegūs </w:t>
            </w:r>
            <w:r w:rsidR="0064755B">
              <w:rPr>
                <w:rFonts w:ascii="Times New Roman" w:hAnsi="Times New Roman"/>
                <w:bCs/>
                <w:sz w:val="24"/>
                <w:szCs w:val="24"/>
                <w:lang w:val="lv-LV" w:eastAsia="lv-LV"/>
              </w:rPr>
              <w:t>jaunu sertifikātu vai papildinās esošo sertifikātu ar jaunu darbības jomu.</w:t>
            </w:r>
          </w:p>
          <w:p w14:paraId="3A66F05F" w14:textId="54FEA1EE" w:rsidR="00482898" w:rsidRPr="00482898" w:rsidRDefault="00482898" w:rsidP="006D1E64">
            <w:pPr>
              <w:pStyle w:val="NormalWeb"/>
              <w:spacing w:before="0" w:beforeAutospacing="0" w:after="0" w:afterAutospacing="0"/>
              <w:ind w:firstLine="247"/>
              <w:jc w:val="both"/>
              <w:rPr>
                <w:rFonts w:ascii="Times New Roman" w:hAnsi="Times New Roman"/>
                <w:bCs/>
                <w:sz w:val="24"/>
                <w:szCs w:val="24"/>
                <w:lang w:val="lv-LV" w:eastAsia="lv-LV"/>
              </w:rPr>
            </w:pPr>
            <w:r>
              <w:rPr>
                <w:rFonts w:ascii="Times New Roman" w:hAnsi="Times New Roman"/>
                <w:bCs/>
                <w:sz w:val="24"/>
                <w:szCs w:val="24"/>
                <w:lang w:val="lv-LV" w:eastAsia="lv-LV"/>
              </w:rPr>
              <w:t>Plānotais laika ieguldījums viena pretendenta dokumentu izvērtēšanai ir 3</w:t>
            </w:r>
            <w:r w:rsidR="00645A85">
              <w:rPr>
                <w:rFonts w:ascii="Times New Roman" w:hAnsi="Times New Roman"/>
                <w:bCs/>
                <w:sz w:val="24"/>
                <w:szCs w:val="24"/>
                <w:lang w:val="lv-LV" w:eastAsia="lv-LV"/>
              </w:rPr>
              <w:t xml:space="preserve"> stundas</w:t>
            </w:r>
            <w:r>
              <w:rPr>
                <w:rFonts w:ascii="Times New Roman" w:hAnsi="Times New Roman"/>
                <w:bCs/>
                <w:sz w:val="24"/>
                <w:szCs w:val="24"/>
                <w:lang w:val="lv-LV" w:eastAsia="lv-LV"/>
              </w:rPr>
              <w:t xml:space="preserve">, </w:t>
            </w:r>
            <w:r w:rsidR="004454CA">
              <w:rPr>
                <w:rFonts w:ascii="Times New Roman" w:hAnsi="Times New Roman"/>
                <w:bCs/>
                <w:sz w:val="24"/>
                <w:szCs w:val="24"/>
                <w:lang w:val="lv-LV" w:eastAsia="lv-LV"/>
              </w:rPr>
              <w:t xml:space="preserve">kuras atbilstoši kompetences pārbaudes iestādes sniegtajai informācijas ir pietiekams, </w:t>
            </w:r>
            <w:r w:rsidR="00645A85">
              <w:rPr>
                <w:rFonts w:ascii="Times New Roman" w:hAnsi="Times New Roman"/>
                <w:bCs/>
                <w:sz w:val="24"/>
                <w:szCs w:val="24"/>
                <w:lang w:val="lv-LV" w:eastAsia="lv-LV"/>
              </w:rPr>
              <w:t>lai izvērtētu pretendenta iesniegumu,</w:t>
            </w:r>
            <w:r>
              <w:rPr>
                <w:rFonts w:ascii="Times New Roman" w:hAnsi="Times New Roman"/>
                <w:bCs/>
                <w:sz w:val="24"/>
                <w:szCs w:val="24"/>
                <w:lang w:val="lv-LV" w:eastAsia="lv-LV"/>
              </w:rPr>
              <w:t xml:space="preserve"> iegūt</w:t>
            </w:r>
            <w:r w:rsidR="00645A85">
              <w:rPr>
                <w:rFonts w:ascii="Times New Roman" w:hAnsi="Times New Roman"/>
                <w:bCs/>
                <w:sz w:val="24"/>
                <w:szCs w:val="24"/>
                <w:lang w:val="lv-LV" w:eastAsia="lv-LV"/>
              </w:rPr>
              <w:t>o</w:t>
            </w:r>
            <w:r>
              <w:rPr>
                <w:rFonts w:ascii="Times New Roman" w:hAnsi="Times New Roman"/>
                <w:bCs/>
                <w:sz w:val="24"/>
                <w:szCs w:val="24"/>
                <w:lang w:val="lv-LV" w:eastAsia="lv-LV"/>
              </w:rPr>
              <w:t xml:space="preserve"> izglītīb</w:t>
            </w:r>
            <w:r w:rsidR="00645A85">
              <w:rPr>
                <w:rFonts w:ascii="Times New Roman" w:hAnsi="Times New Roman"/>
                <w:bCs/>
                <w:sz w:val="24"/>
                <w:szCs w:val="24"/>
                <w:lang w:val="lv-LV" w:eastAsia="lv-LV"/>
              </w:rPr>
              <w:t>u</w:t>
            </w:r>
            <w:r>
              <w:rPr>
                <w:rFonts w:ascii="Times New Roman" w:hAnsi="Times New Roman"/>
                <w:bCs/>
                <w:sz w:val="24"/>
                <w:szCs w:val="24"/>
                <w:lang w:val="lv-LV" w:eastAsia="lv-LV"/>
              </w:rPr>
              <w:t xml:space="preserve">, </w:t>
            </w:r>
            <w:r w:rsidR="00142DF2">
              <w:rPr>
                <w:rFonts w:ascii="Times New Roman" w:hAnsi="Times New Roman"/>
                <w:bCs/>
                <w:sz w:val="24"/>
                <w:szCs w:val="24"/>
                <w:lang w:val="lv-LV" w:eastAsia="lv-LV"/>
              </w:rPr>
              <w:t>praktiskā</w:t>
            </w:r>
            <w:r>
              <w:rPr>
                <w:rFonts w:ascii="Times New Roman" w:hAnsi="Times New Roman"/>
                <w:bCs/>
                <w:sz w:val="24"/>
                <w:szCs w:val="24"/>
                <w:lang w:val="lv-LV" w:eastAsia="lv-LV"/>
              </w:rPr>
              <w:t xml:space="preserve"> </w:t>
            </w:r>
            <w:r w:rsidR="00645A85">
              <w:rPr>
                <w:rFonts w:ascii="Times New Roman" w:hAnsi="Times New Roman"/>
                <w:bCs/>
                <w:sz w:val="24"/>
                <w:szCs w:val="24"/>
                <w:lang w:val="lv-LV" w:eastAsia="lv-LV"/>
              </w:rPr>
              <w:t xml:space="preserve">darba pieredzi </w:t>
            </w:r>
            <w:r>
              <w:rPr>
                <w:rFonts w:ascii="Times New Roman" w:hAnsi="Times New Roman"/>
                <w:bCs/>
                <w:sz w:val="24"/>
                <w:szCs w:val="24"/>
                <w:lang w:val="lv-LV" w:eastAsia="lv-LV"/>
              </w:rPr>
              <w:t>un kompetences pārbaude</w:t>
            </w:r>
            <w:r w:rsidR="00645A85">
              <w:rPr>
                <w:rFonts w:ascii="Times New Roman" w:hAnsi="Times New Roman"/>
                <w:bCs/>
                <w:sz w:val="24"/>
                <w:szCs w:val="24"/>
                <w:lang w:val="lv-LV" w:eastAsia="lv-LV"/>
              </w:rPr>
              <w:t>s rezultātus</w:t>
            </w:r>
            <w:r>
              <w:rPr>
                <w:rFonts w:ascii="Times New Roman" w:hAnsi="Times New Roman"/>
                <w:bCs/>
                <w:sz w:val="24"/>
                <w:szCs w:val="24"/>
                <w:lang w:val="lv-LV" w:eastAsia="lv-LV"/>
              </w:rPr>
              <w:t>.</w:t>
            </w:r>
          </w:p>
          <w:p w14:paraId="562BD99C" w14:textId="23A95210" w:rsidR="005D4622" w:rsidRDefault="005D4622" w:rsidP="00107FF0">
            <w:pPr>
              <w:autoSpaceDE w:val="0"/>
              <w:autoSpaceDN w:val="0"/>
              <w:adjustRightInd w:val="0"/>
              <w:jc w:val="both"/>
              <w:rPr>
                <w:bCs/>
              </w:rPr>
            </w:pPr>
          </w:p>
          <w:p w14:paraId="36B71FD1" w14:textId="3B9A3307" w:rsidR="00482898" w:rsidRDefault="00482898" w:rsidP="00107FF0">
            <w:pPr>
              <w:autoSpaceDE w:val="0"/>
              <w:autoSpaceDN w:val="0"/>
              <w:adjustRightInd w:val="0"/>
              <w:jc w:val="both"/>
              <w:rPr>
                <w:bCs/>
              </w:rPr>
            </w:pPr>
            <w:r w:rsidRPr="005F1243">
              <w:rPr>
                <w:b/>
                <w:bCs/>
              </w:rPr>
              <w:t>Netiešo izmaksu aprēķins</w:t>
            </w:r>
            <w:r w:rsidR="00645A85">
              <w:rPr>
                <w:b/>
                <w:bCs/>
              </w:rPr>
              <w:t xml:space="preserve"> par neatkarīga eksperta kompetences novērtēšanu</w:t>
            </w:r>
            <w:r w:rsidR="007A73E2" w:rsidRPr="005F1243">
              <w:rPr>
                <w:b/>
                <w:bCs/>
              </w:rPr>
              <w:t>:</w:t>
            </w:r>
          </w:p>
          <w:tbl>
            <w:tblPr>
              <w:tblStyle w:val="TableGrid"/>
              <w:tblW w:w="0" w:type="auto"/>
              <w:tblLook w:val="04A0" w:firstRow="1" w:lastRow="0" w:firstColumn="1" w:lastColumn="0" w:noHBand="0" w:noVBand="1"/>
            </w:tblPr>
            <w:tblGrid>
              <w:gridCol w:w="2903"/>
              <w:gridCol w:w="3085"/>
            </w:tblGrid>
            <w:tr w:rsidR="008B68A6" w14:paraId="5B8C9C65" w14:textId="77777777" w:rsidTr="005F1243">
              <w:trPr>
                <w:trHeight w:val="645"/>
              </w:trPr>
              <w:tc>
                <w:tcPr>
                  <w:tcW w:w="3088" w:type="dxa"/>
                </w:tcPr>
                <w:p w14:paraId="31BB285A" w14:textId="38730EA9" w:rsidR="008B68A6" w:rsidRPr="000F36D4" w:rsidRDefault="008B68A6" w:rsidP="005F1243">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Rādītājs (izmaksu veids)</w:t>
                  </w:r>
                </w:p>
              </w:tc>
              <w:tc>
                <w:tcPr>
                  <w:tcW w:w="3402" w:type="dxa"/>
                </w:tcPr>
                <w:p w14:paraId="69256B27" w14:textId="4942DC94" w:rsidR="008B68A6" w:rsidRPr="000F36D4" w:rsidRDefault="008B68A6" w:rsidP="003A0A85">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 xml:space="preserve">Izmaksu apjoms gadā </w:t>
                  </w:r>
                  <w:r w:rsidR="0061120F" w:rsidRPr="00585162">
                    <w:rPr>
                      <w:rFonts w:ascii="Times New Roman" w:hAnsi="Times New Roman"/>
                      <w:bCs/>
                      <w:i/>
                      <w:sz w:val="22"/>
                      <w:szCs w:val="22"/>
                      <w:lang w:val="lv-LV" w:eastAsia="lv-LV"/>
                    </w:rPr>
                    <w:t>(</w:t>
                  </w:r>
                  <w:r w:rsidRPr="00585162">
                    <w:rPr>
                      <w:rFonts w:ascii="Times New Roman" w:hAnsi="Times New Roman"/>
                      <w:bCs/>
                      <w:i/>
                      <w:sz w:val="22"/>
                      <w:szCs w:val="22"/>
                      <w:lang w:val="lv-LV" w:eastAsia="lv-LV"/>
                    </w:rPr>
                    <w:t>E</w:t>
                  </w:r>
                  <w:r w:rsidR="0061120F" w:rsidRPr="00585162">
                    <w:rPr>
                      <w:rFonts w:ascii="Times New Roman" w:hAnsi="Times New Roman"/>
                      <w:bCs/>
                      <w:i/>
                      <w:sz w:val="22"/>
                      <w:szCs w:val="22"/>
                      <w:lang w:val="lv-LV" w:eastAsia="lv-LV"/>
                    </w:rPr>
                    <w:t>ur</w:t>
                  </w:r>
                  <w:r w:rsidR="003A0A85" w:rsidRPr="00585162">
                    <w:rPr>
                      <w:rFonts w:ascii="Times New Roman" w:hAnsi="Times New Roman"/>
                      <w:bCs/>
                      <w:i/>
                      <w:sz w:val="22"/>
                      <w:szCs w:val="22"/>
                      <w:lang w:val="lv-LV" w:eastAsia="lv-LV"/>
                    </w:rPr>
                    <w:t>o</w:t>
                  </w:r>
                  <w:r w:rsidR="0061120F" w:rsidRPr="00585162">
                    <w:rPr>
                      <w:rFonts w:ascii="Times New Roman" w:hAnsi="Times New Roman"/>
                      <w:bCs/>
                      <w:i/>
                      <w:sz w:val="22"/>
                      <w:szCs w:val="22"/>
                      <w:lang w:val="lv-LV" w:eastAsia="lv-LV"/>
                    </w:rPr>
                    <w:t>)</w:t>
                  </w:r>
                </w:p>
              </w:tc>
            </w:tr>
            <w:tr w:rsidR="008B68A6" w14:paraId="2D2E5F6B" w14:textId="77777777" w:rsidTr="005F1243">
              <w:tc>
                <w:tcPr>
                  <w:tcW w:w="3088" w:type="dxa"/>
                </w:tcPr>
                <w:p w14:paraId="3C58B7BE" w14:textId="384AA8A1" w:rsidR="008B68A6" w:rsidRPr="000F36D4" w:rsidRDefault="008B68A6" w:rsidP="005F1243">
                  <w:pPr>
                    <w:pStyle w:val="NormalWeb"/>
                    <w:spacing w:before="0" w:beforeAutospacing="0" w:after="0" w:afterAutospacing="0"/>
                    <w:jc w:val="both"/>
                    <w:rPr>
                      <w:rFonts w:ascii="Times New Roman" w:hAnsi="Times New Roman"/>
                      <w:bCs/>
                      <w:sz w:val="22"/>
                      <w:szCs w:val="22"/>
                      <w:lang w:val="lv-LV" w:eastAsia="lv-LV"/>
                    </w:rPr>
                  </w:pPr>
                  <w:r w:rsidRPr="000F36D4">
                    <w:rPr>
                      <w:rFonts w:ascii="Times New Roman" w:hAnsi="Times New Roman"/>
                      <w:bCs/>
                      <w:sz w:val="22"/>
                      <w:szCs w:val="22"/>
                      <w:lang w:val="lv-LV" w:eastAsia="lv-LV"/>
                    </w:rPr>
                    <w:t>Transporta, sakaru, darbības nodrošināšanas u.tml. izmaksas</w:t>
                  </w:r>
                </w:p>
              </w:tc>
              <w:tc>
                <w:tcPr>
                  <w:tcW w:w="3402" w:type="dxa"/>
                </w:tcPr>
                <w:p w14:paraId="032B3F77" w14:textId="5471B740" w:rsidR="008B68A6" w:rsidRPr="000F36D4" w:rsidRDefault="008B68A6" w:rsidP="005F1243">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47</w:t>
                  </w:r>
                </w:p>
              </w:tc>
            </w:tr>
            <w:tr w:rsidR="008B68A6" w14:paraId="4CAFDBB9" w14:textId="77777777" w:rsidTr="005F1243">
              <w:tc>
                <w:tcPr>
                  <w:tcW w:w="3088" w:type="dxa"/>
                </w:tcPr>
                <w:p w14:paraId="0575E92B" w14:textId="31E71F66" w:rsidR="008B68A6" w:rsidRPr="000F36D4" w:rsidRDefault="008B68A6" w:rsidP="005F1243">
                  <w:pPr>
                    <w:pStyle w:val="NormalWeb"/>
                    <w:spacing w:before="0" w:beforeAutospacing="0" w:after="0" w:afterAutospacing="0"/>
                    <w:jc w:val="both"/>
                    <w:rPr>
                      <w:rFonts w:ascii="Times New Roman" w:hAnsi="Times New Roman"/>
                      <w:bCs/>
                      <w:sz w:val="22"/>
                      <w:szCs w:val="22"/>
                      <w:lang w:val="lv-LV" w:eastAsia="lv-LV"/>
                    </w:rPr>
                  </w:pPr>
                  <w:r w:rsidRPr="000F36D4">
                    <w:rPr>
                      <w:rFonts w:ascii="Times New Roman" w:hAnsi="Times New Roman"/>
                      <w:bCs/>
                      <w:sz w:val="22"/>
                      <w:szCs w:val="22"/>
                      <w:lang w:val="lv-LV" w:eastAsia="lv-LV"/>
                    </w:rPr>
                    <w:t>Biroja administrators</w:t>
                  </w:r>
                </w:p>
              </w:tc>
              <w:tc>
                <w:tcPr>
                  <w:tcW w:w="3402" w:type="dxa"/>
                </w:tcPr>
                <w:p w14:paraId="76163302" w14:textId="4A12F135" w:rsidR="008B68A6" w:rsidRPr="000F36D4" w:rsidRDefault="008B68A6" w:rsidP="005F1243">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420</w:t>
                  </w:r>
                </w:p>
              </w:tc>
            </w:tr>
            <w:tr w:rsidR="008B68A6" w14:paraId="7388E4A7" w14:textId="77777777" w:rsidTr="005F1243">
              <w:tc>
                <w:tcPr>
                  <w:tcW w:w="3088" w:type="dxa"/>
                </w:tcPr>
                <w:p w14:paraId="118D15C3" w14:textId="3248B906" w:rsidR="008B68A6" w:rsidRPr="000F36D4" w:rsidRDefault="008B68A6" w:rsidP="005F1243">
                  <w:pPr>
                    <w:pStyle w:val="NormalWeb"/>
                    <w:spacing w:before="0" w:beforeAutospacing="0" w:after="0" w:afterAutospacing="0"/>
                    <w:jc w:val="both"/>
                    <w:rPr>
                      <w:rFonts w:ascii="Times New Roman" w:hAnsi="Times New Roman"/>
                      <w:bCs/>
                      <w:sz w:val="22"/>
                      <w:szCs w:val="22"/>
                      <w:lang w:val="lv-LV" w:eastAsia="lv-LV"/>
                    </w:rPr>
                  </w:pPr>
                  <w:r w:rsidRPr="000F36D4">
                    <w:rPr>
                      <w:rFonts w:ascii="Times New Roman" w:hAnsi="Times New Roman"/>
                      <w:bCs/>
                      <w:sz w:val="22"/>
                      <w:szCs w:val="22"/>
                      <w:lang w:val="lv-LV" w:eastAsia="lv-LV"/>
                    </w:rPr>
                    <w:t>Biroja vadītājs</w:t>
                  </w:r>
                </w:p>
              </w:tc>
              <w:tc>
                <w:tcPr>
                  <w:tcW w:w="3402" w:type="dxa"/>
                </w:tcPr>
                <w:p w14:paraId="4D9F4E3A" w14:textId="30230380" w:rsidR="008B68A6" w:rsidRPr="000F36D4" w:rsidRDefault="008B68A6" w:rsidP="005F1243">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240</w:t>
                  </w:r>
                </w:p>
              </w:tc>
            </w:tr>
            <w:tr w:rsidR="008B68A6" w14:paraId="3A9BBC85" w14:textId="77777777" w:rsidTr="005F1243">
              <w:tc>
                <w:tcPr>
                  <w:tcW w:w="3088" w:type="dxa"/>
                </w:tcPr>
                <w:p w14:paraId="65B8D5D9" w14:textId="488BDE16" w:rsidR="008B68A6" w:rsidRPr="000F36D4" w:rsidRDefault="008B68A6" w:rsidP="005F1243">
                  <w:pPr>
                    <w:pStyle w:val="NormalWeb"/>
                    <w:spacing w:before="0" w:beforeAutospacing="0" w:after="0" w:afterAutospacing="0"/>
                    <w:jc w:val="both"/>
                    <w:rPr>
                      <w:rFonts w:ascii="Times New Roman" w:hAnsi="Times New Roman"/>
                      <w:bCs/>
                      <w:sz w:val="22"/>
                      <w:szCs w:val="22"/>
                      <w:lang w:val="lv-LV" w:eastAsia="lv-LV"/>
                    </w:rPr>
                  </w:pPr>
                  <w:r w:rsidRPr="000F36D4">
                    <w:rPr>
                      <w:rFonts w:ascii="Times New Roman" w:hAnsi="Times New Roman"/>
                      <w:bCs/>
                      <w:sz w:val="22"/>
                      <w:szCs w:val="22"/>
                      <w:lang w:val="lv-LV" w:eastAsia="lv-LV"/>
                    </w:rPr>
                    <w:t>Kvalitātes vadītājs</w:t>
                  </w:r>
                </w:p>
              </w:tc>
              <w:tc>
                <w:tcPr>
                  <w:tcW w:w="3402" w:type="dxa"/>
                </w:tcPr>
                <w:p w14:paraId="78825249" w14:textId="74B41D92" w:rsidR="008B68A6" w:rsidRPr="000F36D4" w:rsidRDefault="008B68A6" w:rsidP="005F1243">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240</w:t>
                  </w:r>
                </w:p>
              </w:tc>
            </w:tr>
            <w:tr w:rsidR="008B68A6" w14:paraId="4D4A6DAE" w14:textId="77777777" w:rsidTr="005F1243">
              <w:tc>
                <w:tcPr>
                  <w:tcW w:w="3088" w:type="dxa"/>
                </w:tcPr>
                <w:p w14:paraId="421A1EC2" w14:textId="0138B3D8" w:rsidR="008B68A6" w:rsidRPr="000F36D4" w:rsidRDefault="008B68A6" w:rsidP="005F1243">
                  <w:pPr>
                    <w:pStyle w:val="NormalWeb"/>
                    <w:spacing w:before="0" w:beforeAutospacing="0" w:after="0" w:afterAutospacing="0"/>
                    <w:jc w:val="both"/>
                    <w:rPr>
                      <w:rFonts w:ascii="Times New Roman" w:hAnsi="Times New Roman"/>
                      <w:bCs/>
                      <w:sz w:val="22"/>
                      <w:szCs w:val="22"/>
                      <w:lang w:val="lv-LV" w:eastAsia="lv-LV"/>
                    </w:rPr>
                  </w:pPr>
                  <w:r w:rsidRPr="000F36D4">
                    <w:rPr>
                      <w:rFonts w:ascii="Times New Roman" w:hAnsi="Times New Roman"/>
                      <w:bCs/>
                      <w:sz w:val="22"/>
                      <w:szCs w:val="22"/>
                      <w:lang w:val="lv-LV" w:eastAsia="lv-LV"/>
                    </w:rPr>
                    <w:t>Grāmatvedība</w:t>
                  </w:r>
                </w:p>
              </w:tc>
              <w:tc>
                <w:tcPr>
                  <w:tcW w:w="3402" w:type="dxa"/>
                </w:tcPr>
                <w:p w14:paraId="41FACAFF" w14:textId="65A4F76F" w:rsidR="008B68A6" w:rsidRPr="000F36D4" w:rsidRDefault="008B68A6" w:rsidP="005F1243">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60</w:t>
                  </w:r>
                </w:p>
              </w:tc>
            </w:tr>
            <w:tr w:rsidR="008B68A6" w14:paraId="7AB1A7E5" w14:textId="77777777" w:rsidTr="005F1243">
              <w:tc>
                <w:tcPr>
                  <w:tcW w:w="3088" w:type="dxa"/>
                </w:tcPr>
                <w:p w14:paraId="39067313" w14:textId="0DC1A115" w:rsidR="008B68A6" w:rsidRPr="000F36D4" w:rsidRDefault="008B68A6" w:rsidP="005F1243">
                  <w:pPr>
                    <w:pStyle w:val="NormalWeb"/>
                    <w:spacing w:before="0" w:beforeAutospacing="0" w:after="0" w:afterAutospacing="0"/>
                    <w:jc w:val="both"/>
                    <w:rPr>
                      <w:rFonts w:ascii="Times New Roman" w:hAnsi="Times New Roman"/>
                      <w:bCs/>
                      <w:sz w:val="22"/>
                      <w:szCs w:val="22"/>
                      <w:lang w:val="lv-LV" w:eastAsia="lv-LV"/>
                    </w:rPr>
                  </w:pPr>
                  <w:r w:rsidRPr="000F36D4">
                    <w:rPr>
                      <w:rFonts w:ascii="Times New Roman" w:hAnsi="Times New Roman"/>
                      <w:bCs/>
                      <w:sz w:val="22"/>
                      <w:szCs w:val="22"/>
                      <w:lang w:val="lv-LV" w:eastAsia="lv-LV"/>
                    </w:rPr>
                    <w:t>Finanšu auditors</w:t>
                  </w:r>
                </w:p>
              </w:tc>
              <w:tc>
                <w:tcPr>
                  <w:tcW w:w="3402" w:type="dxa"/>
                </w:tcPr>
                <w:p w14:paraId="19F5830F" w14:textId="6F0276F0" w:rsidR="008B68A6" w:rsidRPr="000F36D4" w:rsidRDefault="008B68A6" w:rsidP="005F1243">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110</w:t>
                  </w:r>
                </w:p>
              </w:tc>
            </w:tr>
            <w:tr w:rsidR="008B68A6" w14:paraId="37BA8184" w14:textId="77777777" w:rsidTr="005F1243">
              <w:tc>
                <w:tcPr>
                  <w:tcW w:w="3088" w:type="dxa"/>
                </w:tcPr>
                <w:p w14:paraId="1BEE6627" w14:textId="1B76951D" w:rsidR="008B68A6" w:rsidRPr="000F36D4" w:rsidRDefault="008B68A6" w:rsidP="005F1243">
                  <w:pPr>
                    <w:pStyle w:val="NormalWeb"/>
                    <w:spacing w:before="0" w:beforeAutospacing="0" w:after="0" w:afterAutospacing="0"/>
                    <w:jc w:val="both"/>
                    <w:rPr>
                      <w:rFonts w:ascii="Times New Roman" w:hAnsi="Times New Roman"/>
                      <w:bCs/>
                      <w:sz w:val="22"/>
                      <w:szCs w:val="22"/>
                      <w:lang w:val="lv-LV" w:eastAsia="lv-LV"/>
                    </w:rPr>
                  </w:pPr>
                  <w:r w:rsidRPr="000F36D4">
                    <w:rPr>
                      <w:rFonts w:ascii="Times New Roman" w:hAnsi="Times New Roman"/>
                      <w:bCs/>
                      <w:sz w:val="22"/>
                      <w:szCs w:val="22"/>
                      <w:lang w:val="lv-LV" w:eastAsia="lv-LV"/>
                    </w:rPr>
                    <w:t>Akreditācijas izmaksas</w:t>
                  </w:r>
                </w:p>
              </w:tc>
              <w:tc>
                <w:tcPr>
                  <w:tcW w:w="3402" w:type="dxa"/>
                </w:tcPr>
                <w:p w14:paraId="3E6159B0" w14:textId="44937D23" w:rsidR="008B68A6" w:rsidRPr="000F36D4" w:rsidRDefault="008B68A6" w:rsidP="005F1243">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110</w:t>
                  </w:r>
                </w:p>
              </w:tc>
            </w:tr>
            <w:tr w:rsidR="008B68A6" w14:paraId="5E48CD5C" w14:textId="77777777" w:rsidTr="005F1243">
              <w:tc>
                <w:tcPr>
                  <w:tcW w:w="3088" w:type="dxa"/>
                </w:tcPr>
                <w:p w14:paraId="7E4007EC" w14:textId="5902794F" w:rsidR="008B68A6" w:rsidRPr="000F36D4" w:rsidRDefault="008B68A6" w:rsidP="005F1243">
                  <w:pPr>
                    <w:pStyle w:val="NormalWeb"/>
                    <w:spacing w:before="0" w:beforeAutospacing="0" w:after="0" w:afterAutospacing="0"/>
                    <w:jc w:val="both"/>
                    <w:rPr>
                      <w:rFonts w:ascii="Times New Roman" w:hAnsi="Times New Roman"/>
                      <w:bCs/>
                      <w:sz w:val="22"/>
                      <w:szCs w:val="22"/>
                      <w:lang w:val="lv-LV" w:eastAsia="lv-LV"/>
                    </w:rPr>
                  </w:pPr>
                  <w:r w:rsidRPr="000F36D4">
                    <w:rPr>
                      <w:rFonts w:ascii="Times New Roman" w:hAnsi="Times New Roman"/>
                      <w:bCs/>
                      <w:sz w:val="22"/>
                      <w:szCs w:val="22"/>
                      <w:lang w:val="lv-LV" w:eastAsia="lv-LV"/>
                    </w:rPr>
                    <w:t>IT un programmatūras izturēšanas izdevumi</w:t>
                  </w:r>
                </w:p>
              </w:tc>
              <w:tc>
                <w:tcPr>
                  <w:tcW w:w="3402" w:type="dxa"/>
                </w:tcPr>
                <w:p w14:paraId="475D3861" w14:textId="71E2B2B3" w:rsidR="008B68A6" w:rsidRPr="000F36D4" w:rsidRDefault="008B68A6" w:rsidP="005F1243">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173</w:t>
                  </w:r>
                </w:p>
              </w:tc>
            </w:tr>
            <w:tr w:rsidR="008B68A6" w14:paraId="1C6C22F1" w14:textId="77777777" w:rsidTr="005F1243">
              <w:tc>
                <w:tcPr>
                  <w:tcW w:w="3088" w:type="dxa"/>
                </w:tcPr>
                <w:p w14:paraId="45532C96" w14:textId="40AB9110" w:rsidR="008B68A6" w:rsidRPr="000F36D4" w:rsidRDefault="008B68A6" w:rsidP="005F1243">
                  <w:pPr>
                    <w:pStyle w:val="NormalWeb"/>
                    <w:spacing w:before="0" w:beforeAutospacing="0" w:after="0" w:afterAutospacing="0"/>
                    <w:jc w:val="both"/>
                    <w:rPr>
                      <w:rFonts w:ascii="Times New Roman" w:hAnsi="Times New Roman"/>
                      <w:bCs/>
                      <w:sz w:val="22"/>
                      <w:szCs w:val="22"/>
                      <w:lang w:val="lv-LV" w:eastAsia="lv-LV"/>
                    </w:rPr>
                  </w:pPr>
                  <w:r w:rsidRPr="000F36D4">
                    <w:rPr>
                      <w:rFonts w:ascii="Times New Roman" w:hAnsi="Times New Roman"/>
                      <w:bCs/>
                      <w:sz w:val="22"/>
                      <w:szCs w:val="22"/>
                      <w:lang w:val="lv-LV" w:eastAsia="lv-LV"/>
                    </w:rPr>
                    <w:t>Telpu uzturēšanas izdevumi</w:t>
                  </w:r>
                </w:p>
              </w:tc>
              <w:tc>
                <w:tcPr>
                  <w:tcW w:w="3402" w:type="dxa"/>
                </w:tcPr>
                <w:p w14:paraId="5F27FEF0" w14:textId="20793C52" w:rsidR="008B68A6" w:rsidRPr="000F36D4" w:rsidRDefault="008B68A6" w:rsidP="005F1243">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678</w:t>
                  </w:r>
                </w:p>
              </w:tc>
            </w:tr>
            <w:tr w:rsidR="008B68A6" w14:paraId="692A3397" w14:textId="77777777" w:rsidTr="005F1243">
              <w:tc>
                <w:tcPr>
                  <w:tcW w:w="3088" w:type="dxa"/>
                </w:tcPr>
                <w:p w14:paraId="07CDAAFE" w14:textId="695866E6" w:rsidR="008B68A6" w:rsidRPr="000F36D4" w:rsidRDefault="008B68A6" w:rsidP="005F1243">
                  <w:pPr>
                    <w:pStyle w:val="NormalWeb"/>
                    <w:spacing w:before="0" w:beforeAutospacing="0" w:after="0" w:afterAutospacing="0"/>
                    <w:jc w:val="both"/>
                    <w:rPr>
                      <w:rFonts w:ascii="Times New Roman" w:hAnsi="Times New Roman"/>
                      <w:bCs/>
                      <w:sz w:val="22"/>
                      <w:szCs w:val="22"/>
                      <w:lang w:val="lv-LV" w:eastAsia="lv-LV"/>
                    </w:rPr>
                  </w:pPr>
                  <w:r w:rsidRPr="000F36D4">
                    <w:rPr>
                      <w:rFonts w:ascii="Times New Roman" w:hAnsi="Times New Roman"/>
                      <w:bCs/>
                      <w:sz w:val="22"/>
                      <w:szCs w:val="22"/>
                      <w:lang w:val="lv-LV" w:eastAsia="lv-LV"/>
                    </w:rPr>
                    <w:t>Kancelejas un pasta izdevumi</w:t>
                  </w:r>
                </w:p>
              </w:tc>
              <w:tc>
                <w:tcPr>
                  <w:tcW w:w="3402" w:type="dxa"/>
                </w:tcPr>
                <w:p w14:paraId="5343C004" w14:textId="71C412DE" w:rsidR="008B68A6" w:rsidRPr="000F36D4" w:rsidRDefault="008B68A6" w:rsidP="005F1243">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66</w:t>
                  </w:r>
                </w:p>
              </w:tc>
            </w:tr>
          </w:tbl>
          <w:p w14:paraId="4D1D7699" w14:textId="18544B98" w:rsidR="00482898" w:rsidRDefault="00482898" w:rsidP="00107FF0">
            <w:pPr>
              <w:autoSpaceDE w:val="0"/>
              <w:autoSpaceDN w:val="0"/>
              <w:adjustRightInd w:val="0"/>
              <w:jc w:val="both"/>
              <w:rPr>
                <w:bCs/>
              </w:rPr>
            </w:pPr>
          </w:p>
          <w:p w14:paraId="18F3D5DA" w14:textId="5DBEB433" w:rsidR="007A7017" w:rsidRDefault="00142DF2" w:rsidP="006D1E64">
            <w:pPr>
              <w:autoSpaceDE w:val="0"/>
              <w:autoSpaceDN w:val="0"/>
              <w:adjustRightInd w:val="0"/>
              <w:ind w:firstLine="247"/>
              <w:jc w:val="both"/>
              <w:rPr>
                <w:bCs/>
              </w:rPr>
            </w:pPr>
            <w:r>
              <w:rPr>
                <w:bCs/>
              </w:rPr>
              <w:t>Netiešo izmaksu aprēķinā ņemtas vērā kompetences pārbaudes iestādes iesniegt</w:t>
            </w:r>
            <w:r w:rsidR="004454CA">
              <w:rPr>
                <w:bCs/>
              </w:rPr>
              <w:t>ie aprēķini</w:t>
            </w:r>
            <w:r w:rsidR="00645A85">
              <w:rPr>
                <w:bCs/>
              </w:rPr>
              <w:t xml:space="preserve">. Izmaksās iekļauts </w:t>
            </w:r>
            <w:r>
              <w:rPr>
                <w:bCs/>
              </w:rPr>
              <w:t>biroja darbinieku atalgojum</w:t>
            </w:r>
            <w:r w:rsidR="00645A85">
              <w:rPr>
                <w:bCs/>
              </w:rPr>
              <w:t>s</w:t>
            </w:r>
            <w:r>
              <w:rPr>
                <w:bCs/>
              </w:rPr>
              <w:t xml:space="preserve"> (biroja administrators, biroja vadītājs, kvalitātes vadītājs</w:t>
            </w:r>
            <w:r w:rsidR="00645A85">
              <w:rPr>
                <w:bCs/>
              </w:rPr>
              <w:t>, grāmatvedis).</w:t>
            </w:r>
            <w:r w:rsidR="004454CA">
              <w:rPr>
                <w:bCs/>
              </w:rPr>
              <w:t xml:space="preserve"> </w:t>
            </w:r>
            <w:r w:rsidR="007A7017">
              <w:rPr>
                <w:bCs/>
              </w:rPr>
              <w:t>Biroja darbinieku atalgojums ir aprēķināts proporcionāli biroja darba noslodzei</w:t>
            </w:r>
            <w:r w:rsidR="00EE412D">
              <w:rPr>
                <w:bCs/>
              </w:rPr>
              <w:t xml:space="preserve"> </w:t>
            </w:r>
            <w:r w:rsidR="0064755B">
              <w:rPr>
                <w:bCs/>
              </w:rPr>
              <w:t>sniedzot attiecīgo</w:t>
            </w:r>
            <w:r w:rsidR="0064755B">
              <w:rPr>
                <w:rStyle w:val="CommentReference"/>
                <w:rFonts w:ascii="Calibri" w:eastAsia="Calibri" w:hAnsi="Calibri"/>
                <w:lang w:eastAsia="en-US"/>
              </w:rPr>
              <w:t>,</w:t>
            </w:r>
            <w:r w:rsidR="007A7017">
              <w:rPr>
                <w:bCs/>
              </w:rPr>
              <w:t xml:space="preserve"> jo samaksa par pakalpojumiem tiek saņemta arī par neatkarīgu ekspertu uzraudzību un būvspeciālistu kompetences novērtēšanu un patstāvīgās prakses uzraudzību.</w:t>
            </w:r>
          </w:p>
          <w:p w14:paraId="6BE85EAE" w14:textId="77777777" w:rsidR="007A7017" w:rsidRDefault="007A7017" w:rsidP="006D1E64">
            <w:pPr>
              <w:autoSpaceDE w:val="0"/>
              <w:autoSpaceDN w:val="0"/>
              <w:adjustRightInd w:val="0"/>
              <w:ind w:firstLine="247"/>
              <w:jc w:val="both"/>
              <w:rPr>
                <w:bCs/>
              </w:rPr>
            </w:pPr>
            <w:r>
              <w:rPr>
                <w:bCs/>
              </w:rPr>
              <w:t xml:space="preserve">Proporcionāli sniegtajiem pakalpojumiem ir aprēķinātas arī izmaksas, kuras saistītas ar telpu uzturēšanu, pasta un </w:t>
            </w:r>
            <w:r>
              <w:rPr>
                <w:bCs/>
              </w:rPr>
              <w:lastRenderedPageBreak/>
              <w:t>kancelejas izdevumiem, IT un programatūras uzturēšanas izmaksas.</w:t>
            </w:r>
          </w:p>
          <w:p w14:paraId="4D1ACBD7" w14:textId="2055AC56" w:rsidR="00645A85" w:rsidRDefault="00645A85" w:rsidP="006D1E64">
            <w:pPr>
              <w:autoSpaceDE w:val="0"/>
              <w:autoSpaceDN w:val="0"/>
              <w:adjustRightInd w:val="0"/>
              <w:ind w:firstLine="247"/>
              <w:jc w:val="both"/>
              <w:rPr>
                <w:bCs/>
              </w:rPr>
            </w:pPr>
            <w:r>
              <w:rPr>
                <w:bCs/>
              </w:rPr>
              <w:t xml:space="preserve">Akreditācijas izmaksas iekļautas, jo kompetences pārbaudes iestādei, kura veic neatkarīgu ekspertu kompetences novērtēšanu un patstāvīgās prakses uzraudzību ir jābūt </w:t>
            </w:r>
            <w:r w:rsidRPr="00B67085">
              <w:rPr>
                <w:bCs/>
              </w:rPr>
              <w:t>spēkā esoša</w:t>
            </w:r>
            <w:r w:rsidR="004454CA">
              <w:rPr>
                <w:bCs/>
              </w:rPr>
              <w:t>i</w:t>
            </w:r>
            <w:r w:rsidRPr="00B67085">
              <w:rPr>
                <w:bCs/>
              </w:rPr>
              <w:t xml:space="preserve"> akreditācija</w:t>
            </w:r>
            <w:r w:rsidR="004454CA">
              <w:rPr>
                <w:bCs/>
              </w:rPr>
              <w:t>i</w:t>
            </w:r>
            <w:r w:rsidRPr="00B67085">
              <w:rPr>
                <w:bCs/>
              </w:rPr>
              <w:t xml:space="preserve"> nacionālajā akreditācijas institūcijā kā personu sertificēšanas institūcijai saskaņā ar normatīvajiem aktiem par atbilstības novērtēšanu vai akreditācija</w:t>
            </w:r>
            <w:r w:rsidR="004454CA">
              <w:rPr>
                <w:bCs/>
              </w:rPr>
              <w:t>i</w:t>
            </w:r>
            <w:r w:rsidRPr="00B67085">
              <w:rPr>
                <w:bCs/>
              </w:rPr>
              <w:t xml:space="preserve"> citas Eiropas Savienības dalībvalsts akreditācijas institūcijā</w:t>
            </w:r>
            <w:r w:rsidRPr="00645A85">
              <w:rPr>
                <w:bCs/>
              </w:rPr>
              <w:t xml:space="preserve">. </w:t>
            </w:r>
          </w:p>
          <w:p w14:paraId="74E4D065" w14:textId="05D2320F" w:rsidR="007A73E2" w:rsidRDefault="00645A85" w:rsidP="006D1E64">
            <w:pPr>
              <w:autoSpaceDE w:val="0"/>
              <w:autoSpaceDN w:val="0"/>
              <w:adjustRightInd w:val="0"/>
              <w:ind w:firstLine="247"/>
              <w:jc w:val="both"/>
              <w:rPr>
                <w:bCs/>
              </w:rPr>
            </w:pPr>
            <w:r>
              <w:rPr>
                <w:bCs/>
              </w:rPr>
              <w:t>Finanšu auditoru izmaksas iekļautas, jo atbilstoši deleģēšanas līgumam, kas tiek noslēgts ar kom</w:t>
            </w:r>
            <w:r w:rsidR="007A7017">
              <w:rPr>
                <w:bCs/>
              </w:rPr>
              <w:t>petences pārbaudes iestādi, tās pienākumi ietver ik gadu sniegt zvērināta revidenta auditētu darbības pārskatu par iepriekšējā kalendāra gadā deleģēto uzdevumu izpildi, ieņēmumiem no pakalpojumu maksas un līdzekļu izlietojumu.</w:t>
            </w:r>
          </w:p>
          <w:p w14:paraId="16509663" w14:textId="2DB407B8" w:rsidR="007152BD" w:rsidRDefault="007152BD" w:rsidP="00107FF0">
            <w:pPr>
              <w:autoSpaceDE w:val="0"/>
              <w:autoSpaceDN w:val="0"/>
              <w:adjustRightInd w:val="0"/>
              <w:jc w:val="both"/>
              <w:rPr>
                <w:bCs/>
              </w:rPr>
            </w:pPr>
          </w:p>
          <w:p w14:paraId="5A1C6DB0" w14:textId="6DC949D1" w:rsidR="007152BD" w:rsidRDefault="007152BD" w:rsidP="00107FF0">
            <w:pPr>
              <w:autoSpaceDE w:val="0"/>
              <w:autoSpaceDN w:val="0"/>
              <w:adjustRightInd w:val="0"/>
              <w:jc w:val="both"/>
              <w:rPr>
                <w:bCs/>
              </w:rPr>
            </w:pPr>
            <w:r w:rsidRPr="002213B5">
              <w:rPr>
                <w:b/>
                <w:bCs/>
              </w:rPr>
              <w:t>Kopsavilkums</w:t>
            </w:r>
            <w:r>
              <w:rPr>
                <w:bCs/>
              </w:rPr>
              <w:t>:</w:t>
            </w:r>
          </w:p>
          <w:tbl>
            <w:tblPr>
              <w:tblStyle w:val="TableGrid"/>
              <w:tblW w:w="0" w:type="auto"/>
              <w:tblLook w:val="04A0" w:firstRow="1" w:lastRow="0" w:firstColumn="1" w:lastColumn="0" w:noHBand="0" w:noVBand="1"/>
            </w:tblPr>
            <w:tblGrid>
              <w:gridCol w:w="3028"/>
              <w:gridCol w:w="2960"/>
            </w:tblGrid>
            <w:tr w:rsidR="007152BD" w:rsidRPr="000F36D4" w14:paraId="73C56373" w14:textId="77777777" w:rsidTr="007152BD">
              <w:tc>
                <w:tcPr>
                  <w:tcW w:w="3364" w:type="dxa"/>
                </w:tcPr>
                <w:p w14:paraId="2758DD4D" w14:textId="2AD77435" w:rsidR="007152BD" w:rsidRPr="000F36D4" w:rsidRDefault="007152BD" w:rsidP="002213B5">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Rādītājs (izmaksu veids)</w:t>
                  </w:r>
                </w:p>
              </w:tc>
              <w:tc>
                <w:tcPr>
                  <w:tcW w:w="3365" w:type="dxa"/>
                </w:tcPr>
                <w:p w14:paraId="172EA6E5" w14:textId="42EB2088" w:rsidR="007152BD" w:rsidRPr="000F36D4" w:rsidRDefault="00142DF2" w:rsidP="003A0A85">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 xml:space="preserve">Izmaksu apjoms gadā </w:t>
                  </w:r>
                  <w:r w:rsidRPr="00585162">
                    <w:rPr>
                      <w:rFonts w:ascii="Times New Roman" w:hAnsi="Times New Roman"/>
                      <w:bCs/>
                      <w:i/>
                      <w:sz w:val="22"/>
                      <w:szCs w:val="22"/>
                      <w:lang w:val="lv-LV" w:eastAsia="lv-LV"/>
                    </w:rPr>
                    <w:t>(E</w:t>
                  </w:r>
                  <w:r w:rsidR="0061120F" w:rsidRPr="00585162">
                    <w:rPr>
                      <w:rFonts w:ascii="Times New Roman" w:hAnsi="Times New Roman"/>
                      <w:bCs/>
                      <w:i/>
                      <w:sz w:val="22"/>
                      <w:szCs w:val="22"/>
                      <w:lang w:val="lv-LV" w:eastAsia="lv-LV"/>
                    </w:rPr>
                    <w:t>ur</w:t>
                  </w:r>
                  <w:r w:rsidR="003A0A85" w:rsidRPr="00585162">
                    <w:rPr>
                      <w:rFonts w:ascii="Times New Roman" w:hAnsi="Times New Roman"/>
                      <w:bCs/>
                      <w:i/>
                      <w:sz w:val="22"/>
                      <w:szCs w:val="22"/>
                      <w:lang w:val="lv-LV" w:eastAsia="lv-LV"/>
                    </w:rPr>
                    <w:t>o</w:t>
                  </w:r>
                  <w:r w:rsidRPr="00585162">
                    <w:rPr>
                      <w:rFonts w:ascii="Times New Roman" w:hAnsi="Times New Roman"/>
                      <w:bCs/>
                      <w:i/>
                      <w:sz w:val="22"/>
                      <w:szCs w:val="22"/>
                      <w:lang w:val="lv-LV" w:eastAsia="lv-LV"/>
                    </w:rPr>
                    <w:t>)</w:t>
                  </w:r>
                </w:p>
              </w:tc>
            </w:tr>
            <w:tr w:rsidR="007152BD" w:rsidRPr="000F36D4" w14:paraId="4B5A5E2D" w14:textId="77777777" w:rsidTr="007152BD">
              <w:tc>
                <w:tcPr>
                  <w:tcW w:w="3364" w:type="dxa"/>
                </w:tcPr>
                <w:p w14:paraId="76851ED2" w14:textId="5D96F12E" w:rsidR="007152BD" w:rsidRPr="000F36D4" w:rsidRDefault="00142DF2" w:rsidP="002213B5">
                  <w:pPr>
                    <w:pStyle w:val="NormalWeb"/>
                    <w:spacing w:before="0" w:beforeAutospacing="0" w:after="0" w:afterAutospacing="0"/>
                    <w:jc w:val="both"/>
                    <w:rPr>
                      <w:rFonts w:ascii="Times New Roman" w:hAnsi="Times New Roman"/>
                      <w:bCs/>
                      <w:sz w:val="22"/>
                      <w:szCs w:val="22"/>
                      <w:lang w:val="lv-LV" w:eastAsia="lv-LV"/>
                    </w:rPr>
                  </w:pPr>
                  <w:r w:rsidRPr="000F36D4">
                    <w:rPr>
                      <w:rFonts w:ascii="Times New Roman" w:hAnsi="Times New Roman"/>
                      <w:bCs/>
                      <w:sz w:val="22"/>
                      <w:szCs w:val="22"/>
                      <w:lang w:val="lv-LV" w:eastAsia="lv-LV"/>
                    </w:rPr>
                    <w:t>Tiešās izmaksas</w:t>
                  </w:r>
                </w:p>
              </w:tc>
              <w:tc>
                <w:tcPr>
                  <w:tcW w:w="3365" w:type="dxa"/>
                </w:tcPr>
                <w:p w14:paraId="6BFC5BCB" w14:textId="45123E1C" w:rsidR="007152BD" w:rsidRPr="000F36D4" w:rsidRDefault="00142DF2" w:rsidP="002213B5">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4950</w:t>
                  </w:r>
                </w:p>
              </w:tc>
            </w:tr>
            <w:tr w:rsidR="007152BD" w:rsidRPr="000F36D4" w14:paraId="35169660" w14:textId="77777777" w:rsidTr="007152BD">
              <w:tc>
                <w:tcPr>
                  <w:tcW w:w="3364" w:type="dxa"/>
                </w:tcPr>
                <w:p w14:paraId="64DBBFAF" w14:textId="140E6ECC" w:rsidR="007152BD" w:rsidRPr="000F36D4" w:rsidRDefault="00142DF2" w:rsidP="002213B5">
                  <w:pPr>
                    <w:pStyle w:val="NormalWeb"/>
                    <w:spacing w:before="0" w:beforeAutospacing="0" w:after="0" w:afterAutospacing="0"/>
                    <w:jc w:val="both"/>
                    <w:rPr>
                      <w:rFonts w:ascii="Times New Roman" w:hAnsi="Times New Roman"/>
                      <w:bCs/>
                      <w:sz w:val="22"/>
                      <w:szCs w:val="22"/>
                      <w:lang w:val="lv-LV" w:eastAsia="lv-LV"/>
                    </w:rPr>
                  </w:pPr>
                  <w:r w:rsidRPr="000F36D4">
                    <w:rPr>
                      <w:rFonts w:ascii="Times New Roman" w:hAnsi="Times New Roman"/>
                      <w:bCs/>
                      <w:sz w:val="22"/>
                      <w:szCs w:val="22"/>
                      <w:lang w:val="lv-LV" w:eastAsia="lv-LV"/>
                    </w:rPr>
                    <w:t>Netiešās izmaksas</w:t>
                  </w:r>
                </w:p>
              </w:tc>
              <w:tc>
                <w:tcPr>
                  <w:tcW w:w="3365" w:type="dxa"/>
                </w:tcPr>
                <w:p w14:paraId="5D558685" w14:textId="696E704C" w:rsidR="007152BD" w:rsidRPr="000F36D4" w:rsidRDefault="00142DF2" w:rsidP="002213B5">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2144</w:t>
                  </w:r>
                </w:p>
              </w:tc>
            </w:tr>
            <w:tr w:rsidR="007152BD" w:rsidRPr="000F36D4" w14:paraId="3118DA81" w14:textId="77777777" w:rsidTr="007152BD">
              <w:tc>
                <w:tcPr>
                  <w:tcW w:w="3364" w:type="dxa"/>
                </w:tcPr>
                <w:p w14:paraId="324ED6DE" w14:textId="4C43BB09" w:rsidR="007152BD" w:rsidRPr="000F36D4" w:rsidRDefault="00142DF2" w:rsidP="002213B5">
                  <w:pPr>
                    <w:pStyle w:val="NormalWeb"/>
                    <w:spacing w:before="0" w:beforeAutospacing="0" w:after="0" w:afterAutospacing="0"/>
                    <w:jc w:val="both"/>
                    <w:rPr>
                      <w:rFonts w:ascii="Times New Roman" w:hAnsi="Times New Roman"/>
                      <w:bCs/>
                      <w:sz w:val="22"/>
                      <w:szCs w:val="22"/>
                      <w:lang w:val="lv-LV" w:eastAsia="lv-LV"/>
                    </w:rPr>
                  </w:pPr>
                  <w:r w:rsidRPr="000F36D4">
                    <w:rPr>
                      <w:rFonts w:ascii="Times New Roman" w:hAnsi="Times New Roman"/>
                      <w:bCs/>
                      <w:sz w:val="22"/>
                      <w:szCs w:val="22"/>
                      <w:lang w:val="lv-LV" w:eastAsia="lv-LV"/>
                    </w:rPr>
                    <w:t>Pakalpojuma izmaksas kopā</w:t>
                  </w:r>
                </w:p>
              </w:tc>
              <w:tc>
                <w:tcPr>
                  <w:tcW w:w="3365" w:type="dxa"/>
                </w:tcPr>
                <w:p w14:paraId="1595DBAB" w14:textId="43D4F53E" w:rsidR="007152BD" w:rsidRPr="000F36D4" w:rsidRDefault="00142DF2" w:rsidP="002213B5">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7094</w:t>
                  </w:r>
                </w:p>
              </w:tc>
            </w:tr>
          </w:tbl>
          <w:p w14:paraId="5E21D4CE" w14:textId="5BD129C8" w:rsidR="007152BD" w:rsidRPr="000F36D4" w:rsidRDefault="007152BD" w:rsidP="00107FF0">
            <w:pPr>
              <w:autoSpaceDE w:val="0"/>
              <w:autoSpaceDN w:val="0"/>
              <w:adjustRightInd w:val="0"/>
              <w:jc w:val="both"/>
              <w:rPr>
                <w:bCs/>
              </w:rPr>
            </w:pPr>
          </w:p>
          <w:tbl>
            <w:tblPr>
              <w:tblStyle w:val="TableGrid"/>
              <w:tblW w:w="0" w:type="auto"/>
              <w:tblLook w:val="04A0" w:firstRow="1" w:lastRow="0" w:firstColumn="1" w:lastColumn="0" w:noHBand="0" w:noVBand="1"/>
            </w:tblPr>
            <w:tblGrid>
              <w:gridCol w:w="3038"/>
              <w:gridCol w:w="2950"/>
            </w:tblGrid>
            <w:tr w:rsidR="00142DF2" w:rsidRPr="000F36D4" w14:paraId="1F0C542A" w14:textId="77777777" w:rsidTr="00142DF2">
              <w:tc>
                <w:tcPr>
                  <w:tcW w:w="3364" w:type="dxa"/>
                </w:tcPr>
                <w:p w14:paraId="26C3CDEE" w14:textId="5B94DF5B" w:rsidR="00142DF2" w:rsidRPr="000F36D4" w:rsidRDefault="00142DF2" w:rsidP="002213B5">
                  <w:pPr>
                    <w:pStyle w:val="NormalWeb"/>
                    <w:spacing w:before="0" w:beforeAutospacing="0" w:after="0" w:afterAutospacing="0"/>
                    <w:jc w:val="both"/>
                    <w:rPr>
                      <w:rFonts w:ascii="Times New Roman" w:hAnsi="Times New Roman"/>
                      <w:bCs/>
                      <w:sz w:val="22"/>
                      <w:szCs w:val="22"/>
                      <w:lang w:val="lv-LV" w:eastAsia="lv-LV"/>
                    </w:rPr>
                  </w:pPr>
                  <w:r w:rsidRPr="000F36D4">
                    <w:rPr>
                      <w:rFonts w:ascii="Times New Roman" w:hAnsi="Times New Roman"/>
                      <w:bCs/>
                      <w:sz w:val="22"/>
                      <w:szCs w:val="22"/>
                      <w:lang w:val="lv-LV" w:eastAsia="lv-LV"/>
                    </w:rPr>
                    <w:t xml:space="preserve">Maksas pakalpojumu vienību skaits gadā </w:t>
                  </w:r>
                </w:p>
              </w:tc>
              <w:tc>
                <w:tcPr>
                  <w:tcW w:w="3365" w:type="dxa"/>
                </w:tcPr>
                <w:p w14:paraId="40BFF44F" w14:textId="138E6E4C" w:rsidR="00142DF2" w:rsidRPr="000F36D4" w:rsidRDefault="00142DF2" w:rsidP="002213B5">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33</w:t>
                  </w:r>
                </w:p>
              </w:tc>
            </w:tr>
            <w:tr w:rsidR="00142DF2" w:rsidRPr="000F36D4" w14:paraId="28B72149" w14:textId="77777777" w:rsidTr="00142DF2">
              <w:tc>
                <w:tcPr>
                  <w:tcW w:w="3364" w:type="dxa"/>
                </w:tcPr>
                <w:p w14:paraId="3705A474" w14:textId="514BDB18" w:rsidR="00142DF2" w:rsidRPr="000F36D4" w:rsidRDefault="00142DF2" w:rsidP="002213B5">
                  <w:pPr>
                    <w:pStyle w:val="NormalWeb"/>
                    <w:spacing w:before="0" w:beforeAutospacing="0" w:after="0" w:afterAutospacing="0"/>
                    <w:jc w:val="both"/>
                    <w:rPr>
                      <w:rFonts w:ascii="Times New Roman" w:hAnsi="Times New Roman"/>
                      <w:bCs/>
                      <w:sz w:val="22"/>
                      <w:szCs w:val="22"/>
                      <w:lang w:val="lv-LV" w:eastAsia="lv-LV"/>
                    </w:rPr>
                  </w:pPr>
                  <w:r w:rsidRPr="000F36D4">
                    <w:rPr>
                      <w:rFonts w:ascii="Times New Roman" w:hAnsi="Times New Roman"/>
                      <w:bCs/>
                      <w:sz w:val="22"/>
                      <w:szCs w:val="22"/>
                      <w:lang w:val="lv-LV" w:eastAsia="lv-LV"/>
                    </w:rPr>
                    <w:t xml:space="preserve">Maksas pakalpojuma izcenojums </w:t>
                  </w:r>
                  <w:r w:rsidRPr="00585162">
                    <w:rPr>
                      <w:rFonts w:ascii="Times New Roman" w:hAnsi="Times New Roman"/>
                      <w:bCs/>
                      <w:i/>
                      <w:sz w:val="22"/>
                      <w:szCs w:val="22"/>
                      <w:lang w:val="lv-LV" w:eastAsia="lv-LV"/>
                    </w:rPr>
                    <w:t>(E</w:t>
                  </w:r>
                  <w:r w:rsidR="00D354CC" w:rsidRPr="00585162">
                    <w:rPr>
                      <w:rFonts w:ascii="Times New Roman" w:hAnsi="Times New Roman"/>
                      <w:bCs/>
                      <w:i/>
                      <w:sz w:val="22"/>
                      <w:szCs w:val="22"/>
                      <w:lang w:val="lv-LV" w:eastAsia="lv-LV"/>
                    </w:rPr>
                    <w:t>ur</w:t>
                  </w:r>
                  <w:r w:rsidR="003A0A85" w:rsidRPr="00585162">
                    <w:rPr>
                      <w:rFonts w:ascii="Times New Roman" w:hAnsi="Times New Roman"/>
                      <w:bCs/>
                      <w:i/>
                      <w:sz w:val="22"/>
                      <w:szCs w:val="22"/>
                      <w:lang w:val="lv-LV" w:eastAsia="lv-LV"/>
                    </w:rPr>
                    <w:t>o</w:t>
                  </w:r>
                  <w:r w:rsidRPr="00585162">
                    <w:rPr>
                      <w:rFonts w:ascii="Times New Roman" w:hAnsi="Times New Roman"/>
                      <w:bCs/>
                      <w:i/>
                      <w:sz w:val="22"/>
                      <w:szCs w:val="22"/>
                      <w:lang w:val="lv-LV" w:eastAsia="lv-LV"/>
                    </w:rPr>
                    <w:t>)</w:t>
                  </w:r>
                </w:p>
              </w:tc>
              <w:tc>
                <w:tcPr>
                  <w:tcW w:w="3365" w:type="dxa"/>
                </w:tcPr>
                <w:p w14:paraId="6E82BDC5" w14:textId="0298F43B" w:rsidR="00142DF2" w:rsidRPr="000F36D4" w:rsidRDefault="00142DF2" w:rsidP="002213B5">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214,9</w:t>
                  </w:r>
                  <w:r w:rsidR="00551095">
                    <w:rPr>
                      <w:rFonts w:ascii="Times New Roman" w:hAnsi="Times New Roman"/>
                      <w:bCs/>
                      <w:sz w:val="22"/>
                      <w:szCs w:val="22"/>
                      <w:lang w:val="lv-LV" w:eastAsia="lv-LV"/>
                    </w:rPr>
                    <w:t>6</w:t>
                  </w:r>
                </w:p>
              </w:tc>
            </w:tr>
          </w:tbl>
          <w:p w14:paraId="0D91DDCD" w14:textId="77777777" w:rsidR="00107FF0" w:rsidRDefault="00107FF0" w:rsidP="00107FF0">
            <w:pPr>
              <w:autoSpaceDE w:val="0"/>
              <w:autoSpaceDN w:val="0"/>
              <w:adjustRightInd w:val="0"/>
              <w:jc w:val="both"/>
              <w:rPr>
                <w:bCs/>
              </w:rPr>
            </w:pPr>
          </w:p>
          <w:p w14:paraId="2FF6C00A" w14:textId="53527372" w:rsidR="00107FF0" w:rsidRPr="00107FF0" w:rsidRDefault="00107FF0" w:rsidP="00107FF0">
            <w:pPr>
              <w:pStyle w:val="ListParagraph"/>
              <w:numPr>
                <w:ilvl w:val="0"/>
                <w:numId w:val="21"/>
              </w:numPr>
              <w:autoSpaceDE w:val="0"/>
              <w:autoSpaceDN w:val="0"/>
              <w:adjustRightInd w:val="0"/>
              <w:jc w:val="both"/>
              <w:rPr>
                <w:bCs/>
              </w:rPr>
            </w:pPr>
            <w:r w:rsidRPr="005F1243">
              <w:rPr>
                <w:b/>
                <w:bCs/>
              </w:rPr>
              <w:t xml:space="preserve">Maksas pakalpojuma aprēķins par neatkarīga eksperta profesionālās darbības </w:t>
            </w:r>
            <w:r w:rsidRPr="005D4622">
              <w:rPr>
                <w:b/>
                <w:bCs/>
              </w:rPr>
              <w:t>uzraudzību</w:t>
            </w:r>
            <w:r w:rsidR="005D4622" w:rsidRPr="005D4622">
              <w:rPr>
                <w:b/>
                <w:bCs/>
              </w:rPr>
              <w:t>:</w:t>
            </w:r>
          </w:p>
          <w:p w14:paraId="4AFA5D63" w14:textId="1569933B" w:rsidR="00A57029" w:rsidRDefault="00A57029" w:rsidP="0035214D">
            <w:pPr>
              <w:autoSpaceDE w:val="0"/>
              <w:autoSpaceDN w:val="0"/>
              <w:adjustRightInd w:val="0"/>
              <w:ind w:firstLine="247"/>
              <w:jc w:val="both"/>
              <w:rPr>
                <w:bCs/>
              </w:rPr>
            </w:pPr>
            <w:r>
              <w:rPr>
                <w:bCs/>
              </w:rPr>
              <w:t>Noteikumu Nr. 531 IV.</w:t>
            </w:r>
            <w:r w:rsidR="0035214D">
              <w:rPr>
                <w:bCs/>
              </w:rPr>
              <w:t> </w:t>
            </w:r>
            <w:r>
              <w:rPr>
                <w:bCs/>
              </w:rPr>
              <w:t xml:space="preserve">nodaļa nosaka neatkarīga eksperta profesionālās darbības uzraudzību, tostarp: </w:t>
            </w:r>
          </w:p>
          <w:p w14:paraId="01DD6FBE" w14:textId="0E420C96" w:rsidR="00A57029" w:rsidRDefault="00A57029" w:rsidP="00A57029">
            <w:pPr>
              <w:pStyle w:val="ListParagraph"/>
              <w:numPr>
                <w:ilvl w:val="0"/>
                <w:numId w:val="20"/>
              </w:numPr>
              <w:autoSpaceDE w:val="0"/>
              <w:autoSpaceDN w:val="0"/>
              <w:adjustRightInd w:val="0"/>
              <w:jc w:val="both"/>
              <w:rPr>
                <w:bCs/>
              </w:rPr>
            </w:pPr>
            <w:r w:rsidRPr="008905C7">
              <w:rPr>
                <w:bCs/>
              </w:rPr>
              <w:t>22.</w:t>
            </w:r>
            <w:r w:rsidR="0035214D">
              <w:rPr>
                <w:bCs/>
              </w:rPr>
              <w:t> </w:t>
            </w:r>
            <w:r w:rsidRPr="008905C7">
              <w:rPr>
                <w:bCs/>
              </w:rPr>
              <w:t>punkts nosaka, ka kompetences pārbaudes iestāde nodrošina, ka piecu gadu periodā tiek pārbaudīts ikviens neatkarīgs eksperts, izvērtējot profesionālo darbību, pārbaudot izsniegtos ēku energosertifikātus, pagaidu energosertifikātus un apkures sistēmu un gaisa kondicionēšanas sistēmu pārbaudes aktus un citu dokumentu pareizību, sniegtā novērtējuma objektivitāti un ticamību</w:t>
            </w:r>
          </w:p>
          <w:p w14:paraId="46A648AD" w14:textId="77777777" w:rsidR="006F47ED" w:rsidRDefault="006F47ED" w:rsidP="005F1243">
            <w:pPr>
              <w:autoSpaceDE w:val="0"/>
              <w:autoSpaceDN w:val="0"/>
              <w:adjustRightInd w:val="0"/>
              <w:jc w:val="both"/>
              <w:rPr>
                <w:bCs/>
              </w:rPr>
            </w:pPr>
          </w:p>
          <w:p w14:paraId="46A352CF" w14:textId="3C88DFB3" w:rsidR="006F47ED" w:rsidRPr="00E16098" w:rsidRDefault="006F5F39" w:rsidP="005F1243">
            <w:pPr>
              <w:autoSpaceDE w:val="0"/>
              <w:autoSpaceDN w:val="0"/>
              <w:adjustRightInd w:val="0"/>
              <w:jc w:val="both"/>
              <w:rPr>
                <w:b/>
                <w:bCs/>
              </w:rPr>
            </w:pPr>
            <w:r w:rsidRPr="00E16098">
              <w:rPr>
                <w:b/>
                <w:bCs/>
              </w:rPr>
              <w:t>Tiešās izmaksas:</w:t>
            </w:r>
          </w:p>
          <w:tbl>
            <w:tblPr>
              <w:tblStyle w:val="TableGrid"/>
              <w:tblW w:w="0" w:type="auto"/>
              <w:tblLook w:val="04A0" w:firstRow="1" w:lastRow="0" w:firstColumn="1" w:lastColumn="0" w:noHBand="0" w:noVBand="1"/>
            </w:tblPr>
            <w:tblGrid>
              <w:gridCol w:w="1246"/>
              <w:gridCol w:w="1200"/>
              <w:gridCol w:w="1128"/>
              <w:gridCol w:w="1293"/>
              <w:gridCol w:w="1121"/>
            </w:tblGrid>
            <w:tr w:rsidR="006F47ED" w14:paraId="60716972" w14:textId="77777777" w:rsidTr="006F47ED">
              <w:tc>
                <w:tcPr>
                  <w:tcW w:w="1345" w:type="dxa"/>
                </w:tcPr>
                <w:p w14:paraId="2DD6F7A7" w14:textId="6356F1F4" w:rsidR="006F47ED" w:rsidRPr="000F36D4" w:rsidRDefault="006F47ED" w:rsidP="00E16098">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Rādītājs (izmaksu veids)</w:t>
                  </w:r>
                </w:p>
              </w:tc>
              <w:tc>
                <w:tcPr>
                  <w:tcW w:w="1346" w:type="dxa"/>
                </w:tcPr>
                <w:p w14:paraId="2AE7A04E" w14:textId="5D6BBBEA" w:rsidR="006F47ED" w:rsidRPr="000F36D4" w:rsidRDefault="006F47ED" w:rsidP="00E16098">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Gadījumu skaits gadā</w:t>
                  </w:r>
                </w:p>
              </w:tc>
              <w:tc>
                <w:tcPr>
                  <w:tcW w:w="1346" w:type="dxa"/>
                </w:tcPr>
                <w:p w14:paraId="12FD93A0" w14:textId="662111D1" w:rsidR="006F47ED" w:rsidRPr="000F36D4" w:rsidRDefault="006F47ED" w:rsidP="00E16098">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 xml:space="preserve">Stundu likme </w:t>
                  </w:r>
                  <w:r w:rsidRPr="00585162">
                    <w:rPr>
                      <w:rFonts w:ascii="Times New Roman" w:hAnsi="Times New Roman"/>
                      <w:bCs/>
                      <w:i/>
                      <w:sz w:val="22"/>
                      <w:szCs w:val="22"/>
                      <w:lang w:val="lv-LV" w:eastAsia="lv-LV"/>
                    </w:rPr>
                    <w:t>(E</w:t>
                  </w:r>
                  <w:r w:rsidR="0061120F" w:rsidRPr="00585162">
                    <w:rPr>
                      <w:rFonts w:ascii="Times New Roman" w:hAnsi="Times New Roman"/>
                      <w:bCs/>
                      <w:i/>
                      <w:sz w:val="22"/>
                      <w:szCs w:val="22"/>
                      <w:lang w:val="lv-LV" w:eastAsia="lv-LV"/>
                    </w:rPr>
                    <w:t>ur</w:t>
                  </w:r>
                  <w:r w:rsidR="003A0A85" w:rsidRPr="00585162">
                    <w:rPr>
                      <w:rFonts w:ascii="Times New Roman" w:hAnsi="Times New Roman"/>
                      <w:bCs/>
                      <w:i/>
                      <w:sz w:val="22"/>
                      <w:szCs w:val="22"/>
                      <w:lang w:val="lv-LV" w:eastAsia="lv-LV"/>
                    </w:rPr>
                    <w:t>o</w:t>
                  </w:r>
                  <w:r w:rsidRPr="00585162">
                    <w:rPr>
                      <w:rFonts w:ascii="Times New Roman" w:hAnsi="Times New Roman"/>
                      <w:bCs/>
                      <w:i/>
                      <w:sz w:val="22"/>
                      <w:szCs w:val="22"/>
                      <w:lang w:val="lv-LV" w:eastAsia="lv-LV"/>
                    </w:rPr>
                    <w:t>/h)</w:t>
                  </w:r>
                </w:p>
              </w:tc>
              <w:tc>
                <w:tcPr>
                  <w:tcW w:w="1346" w:type="dxa"/>
                </w:tcPr>
                <w:p w14:paraId="79D4372D" w14:textId="77777777" w:rsidR="006F47ED" w:rsidRDefault="006F47ED" w:rsidP="00E16098">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Plānotais laika ieguldījums</w:t>
                  </w:r>
                </w:p>
                <w:p w14:paraId="251518F3" w14:textId="090C98C6" w:rsidR="0061120F" w:rsidRPr="000F36D4" w:rsidRDefault="0061120F" w:rsidP="00E16098">
                  <w:pPr>
                    <w:pStyle w:val="NormalWeb"/>
                    <w:spacing w:before="0" w:beforeAutospacing="0" w:after="0" w:afterAutospacing="0"/>
                    <w:jc w:val="center"/>
                    <w:rPr>
                      <w:rFonts w:ascii="Times New Roman" w:hAnsi="Times New Roman"/>
                      <w:bCs/>
                      <w:sz w:val="22"/>
                      <w:szCs w:val="22"/>
                      <w:lang w:val="lv-LV" w:eastAsia="lv-LV"/>
                    </w:rPr>
                  </w:pPr>
                  <w:r>
                    <w:rPr>
                      <w:rFonts w:ascii="Times New Roman" w:hAnsi="Times New Roman"/>
                      <w:bCs/>
                      <w:sz w:val="22"/>
                      <w:szCs w:val="22"/>
                      <w:lang w:val="lv-LV" w:eastAsia="lv-LV"/>
                    </w:rPr>
                    <w:t>(h)</w:t>
                  </w:r>
                </w:p>
              </w:tc>
              <w:tc>
                <w:tcPr>
                  <w:tcW w:w="1346" w:type="dxa"/>
                </w:tcPr>
                <w:p w14:paraId="0A5054CD" w14:textId="77777777" w:rsidR="006F47ED" w:rsidRDefault="006F47ED" w:rsidP="00E16098">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Izmaksu apjoms gadā</w:t>
                  </w:r>
                </w:p>
                <w:p w14:paraId="356AE21E" w14:textId="1DB5608F" w:rsidR="0061120F" w:rsidRPr="00585162" w:rsidRDefault="0061120F" w:rsidP="00E16098">
                  <w:pPr>
                    <w:pStyle w:val="NormalWeb"/>
                    <w:spacing w:before="0" w:beforeAutospacing="0" w:after="0" w:afterAutospacing="0"/>
                    <w:jc w:val="center"/>
                    <w:rPr>
                      <w:rFonts w:ascii="Times New Roman" w:hAnsi="Times New Roman"/>
                      <w:bCs/>
                      <w:i/>
                      <w:sz w:val="22"/>
                      <w:szCs w:val="22"/>
                      <w:lang w:val="lv-LV" w:eastAsia="lv-LV"/>
                    </w:rPr>
                  </w:pPr>
                  <w:r w:rsidRPr="00585162">
                    <w:rPr>
                      <w:rFonts w:ascii="Times New Roman" w:hAnsi="Times New Roman"/>
                      <w:bCs/>
                      <w:i/>
                      <w:sz w:val="22"/>
                      <w:szCs w:val="22"/>
                      <w:lang w:val="lv-LV" w:eastAsia="lv-LV"/>
                    </w:rPr>
                    <w:t>(</w:t>
                  </w:r>
                  <w:r w:rsidR="006315E4" w:rsidRPr="00585162">
                    <w:rPr>
                      <w:rFonts w:ascii="Times New Roman" w:hAnsi="Times New Roman"/>
                      <w:bCs/>
                      <w:i/>
                      <w:sz w:val="22"/>
                      <w:szCs w:val="22"/>
                      <w:lang w:val="lv-LV" w:eastAsia="lv-LV"/>
                    </w:rPr>
                    <w:t>Eur</w:t>
                  </w:r>
                  <w:r w:rsidR="003A0A85" w:rsidRPr="00585162">
                    <w:rPr>
                      <w:rFonts w:ascii="Times New Roman" w:hAnsi="Times New Roman"/>
                      <w:bCs/>
                      <w:i/>
                      <w:sz w:val="22"/>
                      <w:szCs w:val="22"/>
                      <w:lang w:val="lv-LV" w:eastAsia="lv-LV"/>
                    </w:rPr>
                    <w:t>o</w:t>
                  </w:r>
                  <w:r w:rsidRPr="00585162">
                    <w:rPr>
                      <w:rFonts w:ascii="Times New Roman" w:hAnsi="Times New Roman"/>
                      <w:bCs/>
                      <w:i/>
                      <w:sz w:val="22"/>
                      <w:szCs w:val="22"/>
                      <w:lang w:val="lv-LV" w:eastAsia="lv-LV"/>
                    </w:rPr>
                    <w:t>)</w:t>
                  </w:r>
                </w:p>
              </w:tc>
            </w:tr>
            <w:tr w:rsidR="006F47ED" w14:paraId="47953126" w14:textId="77777777" w:rsidTr="006F47ED">
              <w:tc>
                <w:tcPr>
                  <w:tcW w:w="1345" w:type="dxa"/>
                </w:tcPr>
                <w:p w14:paraId="53CE78E8" w14:textId="4A60FAF4" w:rsidR="006F47ED" w:rsidRPr="000F36D4" w:rsidRDefault="00E454E3" w:rsidP="005F1243">
                  <w:pPr>
                    <w:autoSpaceDE w:val="0"/>
                    <w:autoSpaceDN w:val="0"/>
                    <w:adjustRightInd w:val="0"/>
                    <w:jc w:val="both"/>
                    <w:rPr>
                      <w:bCs/>
                    </w:rPr>
                  </w:pPr>
                  <w:r w:rsidRPr="000F36D4">
                    <w:rPr>
                      <w:bCs/>
                    </w:rPr>
                    <w:t xml:space="preserve">20% no kopējā sertificēto ekspertu </w:t>
                  </w:r>
                  <w:r w:rsidRPr="000F36D4">
                    <w:rPr>
                      <w:bCs/>
                    </w:rPr>
                    <w:lastRenderedPageBreak/>
                    <w:t>jomu skaita</w:t>
                  </w:r>
                </w:p>
              </w:tc>
              <w:tc>
                <w:tcPr>
                  <w:tcW w:w="1346" w:type="dxa"/>
                </w:tcPr>
                <w:p w14:paraId="33014CAD" w14:textId="5D881335" w:rsidR="006F47ED" w:rsidRPr="000F36D4" w:rsidRDefault="00E454E3" w:rsidP="002213B5">
                  <w:pPr>
                    <w:autoSpaceDE w:val="0"/>
                    <w:autoSpaceDN w:val="0"/>
                    <w:adjustRightInd w:val="0"/>
                    <w:jc w:val="center"/>
                    <w:rPr>
                      <w:bCs/>
                    </w:rPr>
                  </w:pPr>
                  <w:r w:rsidRPr="000F36D4">
                    <w:rPr>
                      <w:bCs/>
                    </w:rPr>
                    <w:lastRenderedPageBreak/>
                    <w:t>1</w:t>
                  </w:r>
                  <w:r w:rsidR="00E16098" w:rsidRPr="000F36D4">
                    <w:rPr>
                      <w:bCs/>
                    </w:rPr>
                    <w:t>8</w:t>
                  </w:r>
                </w:p>
              </w:tc>
              <w:tc>
                <w:tcPr>
                  <w:tcW w:w="1346" w:type="dxa"/>
                </w:tcPr>
                <w:p w14:paraId="53E74E01" w14:textId="44AAEB42" w:rsidR="006F47ED" w:rsidRPr="000F36D4" w:rsidRDefault="00E454E3" w:rsidP="002213B5">
                  <w:pPr>
                    <w:autoSpaceDE w:val="0"/>
                    <w:autoSpaceDN w:val="0"/>
                    <w:adjustRightInd w:val="0"/>
                    <w:jc w:val="center"/>
                    <w:rPr>
                      <w:bCs/>
                    </w:rPr>
                  </w:pPr>
                  <w:r w:rsidRPr="000F36D4">
                    <w:rPr>
                      <w:bCs/>
                    </w:rPr>
                    <w:t>50</w:t>
                  </w:r>
                </w:p>
              </w:tc>
              <w:tc>
                <w:tcPr>
                  <w:tcW w:w="1346" w:type="dxa"/>
                </w:tcPr>
                <w:p w14:paraId="6BA86F4D" w14:textId="424AE2CB" w:rsidR="006F47ED" w:rsidRPr="000F36D4" w:rsidRDefault="00E454E3" w:rsidP="002213B5">
                  <w:pPr>
                    <w:autoSpaceDE w:val="0"/>
                    <w:autoSpaceDN w:val="0"/>
                    <w:adjustRightInd w:val="0"/>
                    <w:jc w:val="center"/>
                    <w:rPr>
                      <w:bCs/>
                    </w:rPr>
                  </w:pPr>
                  <w:r w:rsidRPr="000F36D4">
                    <w:rPr>
                      <w:bCs/>
                    </w:rPr>
                    <w:t>12</w:t>
                  </w:r>
                </w:p>
              </w:tc>
              <w:tc>
                <w:tcPr>
                  <w:tcW w:w="1346" w:type="dxa"/>
                </w:tcPr>
                <w:p w14:paraId="37C2CF3D" w14:textId="7875D2AE" w:rsidR="006F47ED" w:rsidRPr="000F36D4" w:rsidRDefault="001728B8" w:rsidP="002213B5">
                  <w:pPr>
                    <w:autoSpaceDE w:val="0"/>
                    <w:autoSpaceDN w:val="0"/>
                    <w:adjustRightInd w:val="0"/>
                    <w:jc w:val="center"/>
                    <w:rPr>
                      <w:bCs/>
                    </w:rPr>
                  </w:pPr>
                  <w:r>
                    <w:rPr>
                      <w:bCs/>
                    </w:rPr>
                    <w:t>10800</w:t>
                  </w:r>
                </w:p>
              </w:tc>
            </w:tr>
          </w:tbl>
          <w:p w14:paraId="669A2967" w14:textId="2E2D27DA" w:rsidR="002E3F73" w:rsidRDefault="00E454E3" w:rsidP="0035214D">
            <w:pPr>
              <w:autoSpaceDE w:val="0"/>
              <w:autoSpaceDN w:val="0"/>
              <w:adjustRightInd w:val="0"/>
              <w:ind w:firstLine="247"/>
              <w:jc w:val="both"/>
              <w:rPr>
                <w:bCs/>
              </w:rPr>
            </w:pPr>
            <w:r>
              <w:rPr>
                <w:bCs/>
              </w:rPr>
              <w:t>Atbilstoši sertificēto ekspertu skaitam kompetences pārbaudes iestādei gadā jāveic 1</w:t>
            </w:r>
            <w:r w:rsidR="007A7017">
              <w:rPr>
                <w:bCs/>
              </w:rPr>
              <w:t>8</w:t>
            </w:r>
            <w:r>
              <w:rPr>
                <w:bCs/>
              </w:rPr>
              <w:t xml:space="preserve"> neatkarīgu ekspertu pārbaude</w:t>
            </w:r>
            <w:r w:rsidR="0064755B">
              <w:rPr>
                <w:bCs/>
              </w:rPr>
              <w:t xml:space="preserve"> izmantojot</w:t>
            </w:r>
            <w:r>
              <w:rPr>
                <w:bCs/>
              </w:rPr>
              <w:t xml:space="preserve"> Būvniecības informācijas sistēmā</w:t>
            </w:r>
            <w:r w:rsidR="0064755B">
              <w:rPr>
                <w:bCs/>
              </w:rPr>
              <w:t xml:space="preserve"> pieejamo informāciju</w:t>
            </w:r>
            <w:r w:rsidR="002E3F73">
              <w:rPr>
                <w:bCs/>
              </w:rPr>
              <w:t>.</w:t>
            </w:r>
          </w:p>
          <w:p w14:paraId="37C03005" w14:textId="45190A5A" w:rsidR="002E3F73" w:rsidRDefault="002E3F73" w:rsidP="0035214D">
            <w:pPr>
              <w:autoSpaceDE w:val="0"/>
              <w:autoSpaceDN w:val="0"/>
              <w:adjustRightInd w:val="0"/>
              <w:ind w:firstLine="247"/>
              <w:jc w:val="both"/>
              <w:rPr>
                <w:bCs/>
              </w:rPr>
            </w:pPr>
            <w:r>
              <w:rPr>
                <w:bCs/>
              </w:rPr>
              <w:t>Papildus noteikumu 23.</w:t>
            </w:r>
            <w:r w:rsidR="0035214D">
              <w:rPr>
                <w:bCs/>
              </w:rPr>
              <w:t> </w:t>
            </w:r>
            <w:r>
              <w:rPr>
                <w:bCs/>
              </w:rPr>
              <w:t xml:space="preserve">punkts nosaka, ka </w:t>
            </w:r>
            <w:r w:rsidR="00A57029" w:rsidRPr="008905C7">
              <w:rPr>
                <w:bCs/>
              </w:rPr>
              <w:t>Būvniecības valsts kontroles birojs izlases veidā atlasa pārbaudāmos ēku energoefektivitātes dokumentus, ko sagatavojuši neatkarīgi eksperti, un uzdod attiecīgajai kompetences iestādei veikts dokumentu pārbaudi.</w:t>
            </w:r>
            <w:r>
              <w:rPr>
                <w:bCs/>
              </w:rPr>
              <w:t xml:space="preserve"> Tas nozīmē, ka atbilstoši ekspertu izsniegto dokumentu skaitam, kompetences pārbaudes iestādei gadā būs jāveic aptuveni 600 dokumentu pārbaudes. </w:t>
            </w:r>
          </w:p>
          <w:p w14:paraId="0F758B24" w14:textId="504D9D44" w:rsidR="002E3F73" w:rsidRDefault="002E3F73" w:rsidP="0035214D">
            <w:pPr>
              <w:autoSpaceDE w:val="0"/>
              <w:autoSpaceDN w:val="0"/>
              <w:adjustRightInd w:val="0"/>
              <w:ind w:firstLine="247"/>
              <w:jc w:val="both"/>
              <w:rPr>
                <w:bCs/>
              </w:rPr>
            </w:pPr>
            <w:r>
              <w:rPr>
                <w:bCs/>
              </w:rPr>
              <w:t xml:space="preserve">Ņemot vērā ekspertu skaitu un izsniegto dokumentu skaitu, kompetences pārbaudes iestādei viena eksperta pārbaudei </w:t>
            </w:r>
            <w:r w:rsidR="007A7017">
              <w:rPr>
                <w:bCs/>
              </w:rPr>
              <w:t>paredzēts veltīt aptuveni</w:t>
            </w:r>
            <w:r w:rsidR="00EE412D">
              <w:rPr>
                <w:bCs/>
              </w:rPr>
              <w:t xml:space="preserve"> </w:t>
            </w:r>
            <w:r>
              <w:rPr>
                <w:bCs/>
              </w:rPr>
              <w:t>12 stundas.</w:t>
            </w:r>
          </w:p>
          <w:p w14:paraId="27147828" w14:textId="7A9A4885" w:rsidR="00A57029" w:rsidRPr="006B324C" w:rsidRDefault="00A57029" w:rsidP="00E16098">
            <w:pPr>
              <w:autoSpaceDE w:val="0"/>
              <w:autoSpaceDN w:val="0"/>
              <w:adjustRightInd w:val="0"/>
              <w:jc w:val="both"/>
              <w:rPr>
                <w:bCs/>
              </w:rPr>
            </w:pPr>
          </w:p>
          <w:p w14:paraId="5EA9DF14" w14:textId="7C0248BF" w:rsidR="00A57029" w:rsidRDefault="00144BF2" w:rsidP="005F1243">
            <w:pPr>
              <w:pStyle w:val="ListParagraph"/>
              <w:numPr>
                <w:ilvl w:val="0"/>
                <w:numId w:val="20"/>
              </w:numPr>
              <w:autoSpaceDE w:val="0"/>
              <w:autoSpaceDN w:val="0"/>
              <w:adjustRightInd w:val="0"/>
              <w:jc w:val="both"/>
              <w:rPr>
                <w:bCs/>
              </w:rPr>
            </w:pPr>
            <w:r>
              <w:rPr>
                <w:bCs/>
              </w:rPr>
              <w:t>n</w:t>
            </w:r>
            <w:r w:rsidR="0035214D" w:rsidRPr="0035214D">
              <w:rPr>
                <w:bCs/>
              </w:rPr>
              <w:t>oteikumu Nr. 531</w:t>
            </w:r>
            <w:r w:rsidR="0035214D">
              <w:rPr>
                <w:bCs/>
              </w:rPr>
              <w:t xml:space="preserve"> </w:t>
            </w:r>
            <w:r w:rsidR="00A57029">
              <w:rPr>
                <w:bCs/>
              </w:rPr>
              <w:t>24.</w:t>
            </w:r>
            <w:r w:rsidR="0035214D">
              <w:rPr>
                <w:bCs/>
              </w:rPr>
              <w:t> </w:t>
            </w:r>
            <w:r w:rsidR="00A57029">
              <w:rPr>
                <w:bCs/>
              </w:rPr>
              <w:t>un 25.</w:t>
            </w:r>
            <w:r w:rsidR="0035214D">
              <w:rPr>
                <w:bCs/>
              </w:rPr>
              <w:t> </w:t>
            </w:r>
            <w:r w:rsidR="00A57029">
              <w:rPr>
                <w:bCs/>
              </w:rPr>
              <w:t>punkts nosaka, ka kompetences pārbaudes iestādei ir jāizvērtē iesniegumi un cita tās rīcībā nonākusi informācija par neatkarīga eksperta darbībā konstatētajiem profesionālās darbības pārkāpumiem</w:t>
            </w:r>
            <w:r w:rsidR="00E454E3">
              <w:rPr>
                <w:bCs/>
              </w:rPr>
              <w:t>;</w:t>
            </w:r>
          </w:p>
          <w:p w14:paraId="73C51AB4" w14:textId="77777777" w:rsidR="00532C00" w:rsidRDefault="00532C00" w:rsidP="002213B5">
            <w:pPr>
              <w:pStyle w:val="ListParagraph"/>
              <w:autoSpaceDE w:val="0"/>
              <w:autoSpaceDN w:val="0"/>
              <w:adjustRightInd w:val="0"/>
              <w:jc w:val="both"/>
              <w:rPr>
                <w:bCs/>
              </w:rPr>
            </w:pPr>
          </w:p>
          <w:p w14:paraId="2E799DED" w14:textId="6B9E5869" w:rsidR="00532C00" w:rsidRPr="00E16098" w:rsidRDefault="00532C00" w:rsidP="002213B5">
            <w:pPr>
              <w:autoSpaceDE w:val="0"/>
              <w:autoSpaceDN w:val="0"/>
              <w:adjustRightInd w:val="0"/>
              <w:jc w:val="both"/>
              <w:rPr>
                <w:b/>
                <w:bCs/>
              </w:rPr>
            </w:pPr>
            <w:r w:rsidRPr="00E16098">
              <w:rPr>
                <w:b/>
                <w:bCs/>
              </w:rPr>
              <w:t>Tiešās izmaksas:</w:t>
            </w:r>
          </w:p>
          <w:tbl>
            <w:tblPr>
              <w:tblStyle w:val="TableGrid"/>
              <w:tblW w:w="0" w:type="auto"/>
              <w:tblLook w:val="04A0" w:firstRow="1" w:lastRow="0" w:firstColumn="1" w:lastColumn="0" w:noHBand="0" w:noVBand="1"/>
            </w:tblPr>
            <w:tblGrid>
              <w:gridCol w:w="1496"/>
              <w:gridCol w:w="1122"/>
              <w:gridCol w:w="1014"/>
              <w:gridCol w:w="1353"/>
              <w:gridCol w:w="1003"/>
            </w:tblGrid>
            <w:tr w:rsidR="006315E4" w14:paraId="1551A6A4" w14:textId="77777777" w:rsidTr="00532C00">
              <w:tc>
                <w:tcPr>
                  <w:tcW w:w="1345" w:type="dxa"/>
                </w:tcPr>
                <w:p w14:paraId="7903CCBA" w14:textId="5BA3D5EB" w:rsidR="00532C00" w:rsidRPr="000F36D4" w:rsidRDefault="00532C00" w:rsidP="00E16098">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 xml:space="preserve">Rādītājs </w:t>
                  </w:r>
                  <w:r w:rsidRPr="00585162">
                    <w:rPr>
                      <w:rFonts w:ascii="Times New Roman" w:hAnsi="Times New Roman"/>
                      <w:bCs/>
                      <w:i/>
                      <w:sz w:val="22"/>
                      <w:szCs w:val="22"/>
                      <w:lang w:val="lv-LV" w:eastAsia="lv-LV"/>
                    </w:rPr>
                    <w:t>(izmaksu veids)</w:t>
                  </w:r>
                </w:p>
              </w:tc>
              <w:tc>
                <w:tcPr>
                  <w:tcW w:w="1346" w:type="dxa"/>
                </w:tcPr>
                <w:p w14:paraId="21D1E5D2" w14:textId="5F620501" w:rsidR="00532C00" w:rsidRPr="000F36D4" w:rsidRDefault="00532C00" w:rsidP="00E16098">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 xml:space="preserve">Gadījumu skaits gadā </w:t>
                  </w:r>
                </w:p>
              </w:tc>
              <w:tc>
                <w:tcPr>
                  <w:tcW w:w="1346" w:type="dxa"/>
                </w:tcPr>
                <w:p w14:paraId="425000F9" w14:textId="77777777" w:rsidR="00532C00" w:rsidRPr="000F36D4" w:rsidRDefault="00532C00" w:rsidP="00E16098">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Stundu likme</w:t>
                  </w:r>
                </w:p>
                <w:p w14:paraId="0C6A72A6" w14:textId="52461B6D" w:rsidR="00532C00" w:rsidRPr="00585162" w:rsidRDefault="00532C00" w:rsidP="00E16098">
                  <w:pPr>
                    <w:pStyle w:val="NormalWeb"/>
                    <w:spacing w:before="0" w:beforeAutospacing="0" w:after="0" w:afterAutospacing="0"/>
                    <w:jc w:val="center"/>
                    <w:rPr>
                      <w:rFonts w:ascii="Times New Roman" w:hAnsi="Times New Roman"/>
                      <w:bCs/>
                      <w:i/>
                      <w:sz w:val="22"/>
                      <w:szCs w:val="22"/>
                      <w:lang w:val="lv-LV" w:eastAsia="lv-LV"/>
                    </w:rPr>
                  </w:pPr>
                  <w:r w:rsidRPr="00585162">
                    <w:rPr>
                      <w:rFonts w:ascii="Times New Roman" w:hAnsi="Times New Roman"/>
                      <w:bCs/>
                      <w:i/>
                      <w:sz w:val="22"/>
                      <w:szCs w:val="22"/>
                      <w:lang w:val="lv-LV" w:eastAsia="lv-LV"/>
                    </w:rPr>
                    <w:t>(E</w:t>
                  </w:r>
                  <w:r w:rsidR="0061120F" w:rsidRPr="00585162">
                    <w:rPr>
                      <w:rFonts w:ascii="Times New Roman" w:hAnsi="Times New Roman"/>
                      <w:bCs/>
                      <w:i/>
                      <w:sz w:val="22"/>
                      <w:szCs w:val="22"/>
                      <w:lang w:val="lv-LV" w:eastAsia="lv-LV"/>
                    </w:rPr>
                    <w:t>ur</w:t>
                  </w:r>
                  <w:r w:rsidR="003A0A85" w:rsidRPr="00585162">
                    <w:rPr>
                      <w:rFonts w:ascii="Times New Roman" w:hAnsi="Times New Roman"/>
                      <w:bCs/>
                      <w:i/>
                      <w:sz w:val="22"/>
                      <w:szCs w:val="22"/>
                      <w:lang w:val="lv-LV" w:eastAsia="lv-LV"/>
                    </w:rPr>
                    <w:t>o</w:t>
                  </w:r>
                  <w:r w:rsidRPr="00585162">
                    <w:rPr>
                      <w:rFonts w:ascii="Times New Roman" w:hAnsi="Times New Roman"/>
                      <w:bCs/>
                      <w:i/>
                      <w:sz w:val="22"/>
                      <w:szCs w:val="22"/>
                      <w:lang w:val="lv-LV" w:eastAsia="lv-LV"/>
                    </w:rPr>
                    <w:t>/h)</w:t>
                  </w:r>
                </w:p>
              </w:tc>
              <w:tc>
                <w:tcPr>
                  <w:tcW w:w="1346" w:type="dxa"/>
                </w:tcPr>
                <w:p w14:paraId="1E2507C9" w14:textId="77777777" w:rsidR="00532C00" w:rsidRPr="000F36D4" w:rsidRDefault="00532C00" w:rsidP="00E16098">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Plānotais laika ieguldījums pakalpojuma sniegšanai</w:t>
                  </w:r>
                </w:p>
                <w:p w14:paraId="6ABCF71C" w14:textId="755A8C5E" w:rsidR="00532C00" w:rsidRPr="00585162" w:rsidRDefault="00532C00" w:rsidP="00E16098">
                  <w:pPr>
                    <w:pStyle w:val="NormalWeb"/>
                    <w:spacing w:before="0" w:beforeAutospacing="0" w:after="0" w:afterAutospacing="0"/>
                    <w:jc w:val="center"/>
                    <w:rPr>
                      <w:rFonts w:ascii="Times New Roman" w:hAnsi="Times New Roman"/>
                      <w:bCs/>
                      <w:i/>
                      <w:sz w:val="22"/>
                      <w:szCs w:val="22"/>
                      <w:lang w:val="lv-LV" w:eastAsia="lv-LV"/>
                    </w:rPr>
                  </w:pPr>
                  <w:r w:rsidRPr="00585162">
                    <w:rPr>
                      <w:rFonts w:ascii="Times New Roman" w:hAnsi="Times New Roman"/>
                      <w:bCs/>
                      <w:i/>
                      <w:sz w:val="22"/>
                      <w:szCs w:val="22"/>
                      <w:lang w:val="lv-LV" w:eastAsia="lv-LV"/>
                    </w:rPr>
                    <w:t>(h)</w:t>
                  </w:r>
                </w:p>
              </w:tc>
              <w:tc>
                <w:tcPr>
                  <w:tcW w:w="1346" w:type="dxa"/>
                </w:tcPr>
                <w:p w14:paraId="0853CC1F" w14:textId="77777777" w:rsidR="00532C00" w:rsidRDefault="00532C00" w:rsidP="00E16098">
                  <w:pPr>
                    <w:pStyle w:val="NormalWeb"/>
                    <w:spacing w:before="0" w:beforeAutospacing="0" w:after="0" w:afterAutospacing="0"/>
                    <w:jc w:val="center"/>
                    <w:rPr>
                      <w:rFonts w:ascii="Times New Roman" w:hAnsi="Times New Roman"/>
                      <w:bCs/>
                      <w:sz w:val="22"/>
                      <w:szCs w:val="22"/>
                      <w:lang w:val="lv-LV" w:eastAsia="lv-LV"/>
                    </w:rPr>
                  </w:pPr>
                  <w:r w:rsidRPr="000F36D4">
                    <w:rPr>
                      <w:rFonts w:ascii="Times New Roman" w:hAnsi="Times New Roman"/>
                      <w:bCs/>
                      <w:sz w:val="22"/>
                      <w:szCs w:val="22"/>
                      <w:lang w:val="lv-LV" w:eastAsia="lv-LV"/>
                    </w:rPr>
                    <w:t>Izmaksu apjoms gadā</w:t>
                  </w:r>
                </w:p>
                <w:p w14:paraId="6E60DED6" w14:textId="6696F764" w:rsidR="0061120F" w:rsidRPr="00585162" w:rsidRDefault="0061120F" w:rsidP="00E16098">
                  <w:pPr>
                    <w:pStyle w:val="NormalWeb"/>
                    <w:spacing w:before="0" w:beforeAutospacing="0" w:after="0" w:afterAutospacing="0"/>
                    <w:jc w:val="center"/>
                    <w:rPr>
                      <w:rFonts w:ascii="Times New Roman" w:hAnsi="Times New Roman"/>
                      <w:bCs/>
                      <w:i/>
                      <w:sz w:val="22"/>
                      <w:szCs w:val="22"/>
                      <w:lang w:val="lv-LV" w:eastAsia="lv-LV"/>
                    </w:rPr>
                  </w:pPr>
                  <w:r w:rsidRPr="00585162">
                    <w:rPr>
                      <w:rFonts w:ascii="Times New Roman" w:hAnsi="Times New Roman"/>
                      <w:bCs/>
                      <w:i/>
                      <w:sz w:val="22"/>
                      <w:szCs w:val="22"/>
                      <w:lang w:val="lv-LV" w:eastAsia="lv-LV"/>
                    </w:rPr>
                    <w:t>(Eur</w:t>
                  </w:r>
                  <w:r w:rsidR="003A0A85" w:rsidRPr="00585162">
                    <w:rPr>
                      <w:rFonts w:ascii="Times New Roman" w:hAnsi="Times New Roman"/>
                      <w:bCs/>
                      <w:i/>
                      <w:sz w:val="22"/>
                      <w:szCs w:val="22"/>
                      <w:lang w:val="lv-LV" w:eastAsia="lv-LV"/>
                    </w:rPr>
                    <w:t>o</w:t>
                  </w:r>
                  <w:r w:rsidRPr="00585162">
                    <w:rPr>
                      <w:rFonts w:ascii="Times New Roman" w:hAnsi="Times New Roman"/>
                      <w:bCs/>
                      <w:i/>
                      <w:sz w:val="22"/>
                      <w:szCs w:val="22"/>
                      <w:lang w:val="lv-LV" w:eastAsia="lv-LV"/>
                    </w:rPr>
                    <w:t>)</w:t>
                  </w:r>
                </w:p>
              </w:tc>
            </w:tr>
            <w:tr w:rsidR="006315E4" w14:paraId="05DBDB9C" w14:textId="77777777" w:rsidTr="00532C00">
              <w:tc>
                <w:tcPr>
                  <w:tcW w:w="1345" w:type="dxa"/>
                </w:tcPr>
                <w:p w14:paraId="78728E75" w14:textId="25198DFA" w:rsidR="00532C00" w:rsidRPr="000F36D4" w:rsidRDefault="00532C00" w:rsidP="00532C00">
                  <w:pPr>
                    <w:autoSpaceDE w:val="0"/>
                    <w:autoSpaceDN w:val="0"/>
                    <w:adjustRightInd w:val="0"/>
                    <w:jc w:val="both"/>
                    <w:rPr>
                      <w:bCs/>
                    </w:rPr>
                  </w:pPr>
                  <w:r w:rsidRPr="000F36D4">
                    <w:rPr>
                      <w:bCs/>
                    </w:rPr>
                    <w:t>Sūdzību izvērtēšana</w:t>
                  </w:r>
                  <w:r w:rsidR="00727165" w:rsidRPr="000F36D4">
                    <w:rPr>
                      <w:bCs/>
                    </w:rPr>
                    <w:t xml:space="preserve"> (ekspertu darbs)</w:t>
                  </w:r>
                </w:p>
              </w:tc>
              <w:tc>
                <w:tcPr>
                  <w:tcW w:w="1346" w:type="dxa"/>
                </w:tcPr>
                <w:p w14:paraId="5DD01723" w14:textId="1A7B95F2" w:rsidR="00532C00" w:rsidRPr="000F36D4" w:rsidRDefault="006B630D" w:rsidP="002213B5">
                  <w:pPr>
                    <w:autoSpaceDE w:val="0"/>
                    <w:autoSpaceDN w:val="0"/>
                    <w:adjustRightInd w:val="0"/>
                    <w:jc w:val="center"/>
                    <w:rPr>
                      <w:bCs/>
                    </w:rPr>
                  </w:pPr>
                  <w:r w:rsidRPr="000F36D4">
                    <w:rPr>
                      <w:bCs/>
                    </w:rPr>
                    <w:t>10</w:t>
                  </w:r>
                </w:p>
              </w:tc>
              <w:tc>
                <w:tcPr>
                  <w:tcW w:w="1346" w:type="dxa"/>
                </w:tcPr>
                <w:p w14:paraId="131484A4" w14:textId="17864FFA" w:rsidR="00532C00" w:rsidRPr="000F36D4" w:rsidRDefault="00532C00" w:rsidP="002213B5">
                  <w:pPr>
                    <w:autoSpaceDE w:val="0"/>
                    <w:autoSpaceDN w:val="0"/>
                    <w:adjustRightInd w:val="0"/>
                    <w:jc w:val="center"/>
                    <w:rPr>
                      <w:bCs/>
                    </w:rPr>
                  </w:pPr>
                  <w:r w:rsidRPr="000F36D4">
                    <w:rPr>
                      <w:bCs/>
                    </w:rPr>
                    <w:t>50</w:t>
                  </w:r>
                </w:p>
              </w:tc>
              <w:tc>
                <w:tcPr>
                  <w:tcW w:w="1346" w:type="dxa"/>
                </w:tcPr>
                <w:p w14:paraId="153142C6" w14:textId="03BE56F8" w:rsidR="00532C00" w:rsidRPr="000F36D4" w:rsidRDefault="00532C00" w:rsidP="002213B5">
                  <w:pPr>
                    <w:autoSpaceDE w:val="0"/>
                    <w:autoSpaceDN w:val="0"/>
                    <w:adjustRightInd w:val="0"/>
                    <w:jc w:val="center"/>
                    <w:rPr>
                      <w:bCs/>
                    </w:rPr>
                  </w:pPr>
                  <w:r w:rsidRPr="000F36D4">
                    <w:rPr>
                      <w:bCs/>
                    </w:rPr>
                    <w:t>24</w:t>
                  </w:r>
                </w:p>
              </w:tc>
              <w:tc>
                <w:tcPr>
                  <w:tcW w:w="1346" w:type="dxa"/>
                </w:tcPr>
                <w:p w14:paraId="1DDB6C71" w14:textId="73C59119" w:rsidR="00532C00" w:rsidRPr="000F36D4" w:rsidRDefault="00137C05" w:rsidP="002213B5">
                  <w:pPr>
                    <w:autoSpaceDE w:val="0"/>
                    <w:autoSpaceDN w:val="0"/>
                    <w:adjustRightInd w:val="0"/>
                    <w:jc w:val="center"/>
                    <w:rPr>
                      <w:bCs/>
                    </w:rPr>
                  </w:pPr>
                  <w:r>
                    <w:rPr>
                      <w:bCs/>
                    </w:rPr>
                    <w:t>12000</w:t>
                  </w:r>
                </w:p>
              </w:tc>
            </w:tr>
            <w:tr w:rsidR="007A7017" w14:paraId="4A8828F8" w14:textId="77777777" w:rsidTr="00532C00">
              <w:tc>
                <w:tcPr>
                  <w:tcW w:w="1345" w:type="dxa"/>
                </w:tcPr>
                <w:p w14:paraId="3A2BE35B" w14:textId="50D4F0FA" w:rsidR="007A7017" w:rsidRPr="000F36D4" w:rsidRDefault="007A7017" w:rsidP="00532C00">
                  <w:pPr>
                    <w:autoSpaceDE w:val="0"/>
                    <w:autoSpaceDN w:val="0"/>
                    <w:adjustRightInd w:val="0"/>
                    <w:jc w:val="both"/>
                    <w:rPr>
                      <w:bCs/>
                    </w:rPr>
                  </w:pPr>
                  <w:r>
                    <w:rPr>
                      <w:bCs/>
                    </w:rPr>
                    <w:t>Padziļinātas pārbaudes, izbraucot objektā uz vietas</w:t>
                  </w:r>
                </w:p>
              </w:tc>
              <w:tc>
                <w:tcPr>
                  <w:tcW w:w="1346" w:type="dxa"/>
                </w:tcPr>
                <w:p w14:paraId="40BDFF23" w14:textId="028C9FD7" w:rsidR="007A7017" w:rsidRPr="000F36D4" w:rsidRDefault="007A7017" w:rsidP="002213B5">
                  <w:pPr>
                    <w:autoSpaceDE w:val="0"/>
                    <w:autoSpaceDN w:val="0"/>
                    <w:adjustRightInd w:val="0"/>
                    <w:jc w:val="center"/>
                    <w:rPr>
                      <w:bCs/>
                    </w:rPr>
                  </w:pPr>
                  <w:r>
                    <w:rPr>
                      <w:bCs/>
                    </w:rPr>
                    <w:t>2</w:t>
                  </w:r>
                </w:p>
              </w:tc>
              <w:tc>
                <w:tcPr>
                  <w:tcW w:w="1346" w:type="dxa"/>
                </w:tcPr>
                <w:p w14:paraId="53F1BCD4" w14:textId="19336F85" w:rsidR="007A7017" w:rsidRPr="000F36D4" w:rsidRDefault="007A7017" w:rsidP="002213B5">
                  <w:pPr>
                    <w:autoSpaceDE w:val="0"/>
                    <w:autoSpaceDN w:val="0"/>
                    <w:adjustRightInd w:val="0"/>
                    <w:jc w:val="center"/>
                    <w:rPr>
                      <w:bCs/>
                    </w:rPr>
                  </w:pPr>
                  <w:r>
                    <w:rPr>
                      <w:bCs/>
                    </w:rPr>
                    <w:t>50</w:t>
                  </w:r>
                </w:p>
              </w:tc>
              <w:tc>
                <w:tcPr>
                  <w:tcW w:w="1346" w:type="dxa"/>
                </w:tcPr>
                <w:p w14:paraId="7BE5E60E" w14:textId="63744811" w:rsidR="007A7017" w:rsidRPr="000F36D4" w:rsidRDefault="007A7017" w:rsidP="002213B5">
                  <w:pPr>
                    <w:autoSpaceDE w:val="0"/>
                    <w:autoSpaceDN w:val="0"/>
                    <w:adjustRightInd w:val="0"/>
                    <w:jc w:val="center"/>
                    <w:rPr>
                      <w:bCs/>
                    </w:rPr>
                  </w:pPr>
                  <w:r>
                    <w:rPr>
                      <w:bCs/>
                    </w:rPr>
                    <w:t>24</w:t>
                  </w:r>
                </w:p>
              </w:tc>
              <w:tc>
                <w:tcPr>
                  <w:tcW w:w="1346" w:type="dxa"/>
                </w:tcPr>
                <w:p w14:paraId="3DB7AD82" w14:textId="4DDDE29A" w:rsidR="007A7017" w:rsidRDefault="007A7017" w:rsidP="002213B5">
                  <w:pPr>
                    <w:autoSpaceDE w:val="0"/>
                    <w:autoSpaceDN w:val="0"/>
                    <w:adjustRightInd w:val="0"/>
                    <w:jc w:val="center"/>
                    <w:rPr>
                      <w:bCs/>
                    </w:rPr>
                  </w:pPr>
                  <w:r>
                    <w:rPr>
                      <w:bCs/>
                    </w:rPr>
                    <w:t>2400</w:t>
                  </w:r>
                </w:p>
              </w:tc>
            </w:tr>
            <w:tr w:rsidR="00727165" w14:paraId="394E50DD" w14:textId="77777777" w:rsidTr="00532C00">
              <w:tc>
                <w:tcPr>
                  <w:tcW w:w="1345" w:type="dxa"/>
                </w:tcPr>
                <w:p w14:paraId="7B4EE37B" w14:textId="43AB8A4D" w:rsidR="00727165" w:rsidRPr="000F36D4" w:rsidRDefault="00727165" w:rsidP="00532C00">
                  <w:pPr>
                    <w:autoSpaceDE w:val="0"/>
                    <w:autoSpaceDN w:val="0"/>
                    <w:adjustRightInd w:val="0"/>
                    <w:jc w:val="both"/>
                    <w:rPr>
                      <w:bCs/>
                    </w:rPr>
                  </w:pPr>
                  <w:r w:rsidRPr="000F36D4">
                    <w:rPr>
                      <w:bCs/>
                    </w:rPr>
                    <w:t>Sūdzību izvērtēšana (juridiskie pakalpojumi)</w:t>
                  </w:r>
                </w:p>
              </w:tc>
              <w:tc>
                <w:tcPr>
                  <w:tcW w:w="1346" w:type="dxa"/>
                </w:tcPr>
                <w:p w14:paraId="1C79CE49" w14:textId="77777777" w:rsidR="00727165" w:rsidRPr="000F36D4" w:rsidRDefault="00727165" w:rsidP="002213B5">
                  <w:pPr>
                    <w:autoSpaceDE w:val="0"/>
                    <w:autoSpaceDN w:val="0"/>
                    <w:adjustRightInd w:val="0"/>
                    <w:jc w:val="center"/>
                    <w:rPr>
                      <w:bCs/>
                    </w:rPr>
                  </w:pPr>
                </w:p>
              </w:tc>
              <w:tc>
                <w:tcPr>
                  <w:tcW w:w="1346" w:type="dxa"/>
                </w:tcPr>
                <w:p w14:paraId="07EB8FE1" w14:textId="77777777" w:rsidR="00727165" w:rsidRPr="000F36D4" w:rsidRDefault="00727165" w:rsidP="002213B5">
                  <w:pPr>
                    <w:autoSpaceDE w:val="0"/>
                    <w:autoSpaceDN w:val="0"/>
                    <w:adjustRightInd w:val="0"/>
                    <w:jc w:val="center"/>
                    <w:rPr>
                      <w:bCs/>
                    </w:rPr>
                  </w:pPr>
                </w:p>
              </w:tc>
              <w:tc>
                <w:tcPr>
                  <w:tcW w:w="1346" w:type="dxa"/>
                </w:tcPr>
                <w:p w14:paraId="72FB578B" w14:textId="77777777" w:rsidR="00727165" w:rsidRPr="000F36D4" w:rsidRDefault="00727165" w:rsidP="002213B5">
                  <w:pPr>
                    <w:autoSpaceDE w:val="0"/>
                    <w:autoSpaceDN w:val="0"/>
                    <w:adjustRightInd w:val="0"/>
                    <w:jc w:val="center"/>
                    <w:rPr>
                      <w:bCs/>
                    </w:rPr>
                  </w:pPr>
                </w:p>
              </w:tc>
              <w:tc>
                <w:tcPr>
                  <w:tcW w:w="1346" w:type="dxa"/>
                </w:tcPr>
                <w:p w14:paraId="2F5A612A" w14:textId="320C459C" w:rsidR="00727165" w:rsidRPr="000F36D4" w:rsidRDefault="00727165" w:rsidP="002213B5">
                  <w:pPr>
                    <w:autoSpaceDE w:val="0"/>
                    <w:autoSpaceDN w:val="0"/>
                    <w:adjustRightInd w:val="0"/>
                    <w:jc w:val="center"/>
                    <w:rPr>
                      <w:bCs/>
                    </w:rPr>
                  </w:pPr>
                  <w:r w:rsidRPr="000F36D4">
                    <w:rPr>
                      <w:bCs/>
                    </w:rPr>
                    <w:t>900</w:t>
                  </w:r>
                </w:p>
              </w:tc>
            </w:tr>
            <w:tr w:rsidR="00727165" w14:paraId="5B3C73F0" w14:textId="77777777" w:rsidTr="00532C00">
              <w:tc>
                <w:tcPr>
                  <w:tcW w:w="1345" w:type="dxa"/>
                </w:tcPr>
                <w:p w14:paraId="30B1A28D" w14:textId="48266DBC" w:rsidR="00727165" w:rsidRPr="000F36D4" w:rsidRDefault="00727165" w:rsidP="00532C00">
                  <w:pPr>
                    <w:autoSpaceDE w:val="0"/>
                    <w:autoSpaceDN w:val="0"/>
                    <w:adjustRightInd w:val="0"/>
                    <w:jc w:val="both"/>
                    <w:rPr>
                      <w:bCs/>
                    </w:rPr>
                  </w:pPr>
                  <w:r w:rsidRPr="000F36D4">
                    <w:rPr>
                      <w:bCs/>
                    </w:rPr>
                    <w:t>Transporta izmaksas</w:t>
                  </w:r>
                </w:p>
              </w:tc>
              <w:tc>
                <w:tcPr>
                  <w:tcW w:w="1346" w:type="dxa"/>
                </w:tcPr>
                <w:p w14:paraId="29B5D789" w14:textId="0613FEE6" w:rsidR="00727165" w:rsidRPr="000F36D4" w:rsidRDefault="00727165" w:rsidP="002213B5">
                  <w:pPr>
                    <w:autoSpaceDE w:val="0"/>
                    <w:autoSpaceDN w:val="0"/>
                    <w:adjustRightInd w:val="0"/>
                    <w:jc w:val="center"/>
                    <w:rPr>
                      <w:bCs/>
                    </w:rPr>
                  </w:pPr>
                  <w:r w:rsidRPr="000F36D4">
                    <w:rPr>
                      <w:bCs/>
                    </w:rPr>
                    <w:t>10</w:t>
                  </w:r>
                </w:p>
              </w:tc>
              <w:tc>
                <w:tcPr>
                  <w:tcW w:w="1346" w:type="dxa"/>
                </w:tcPr>
                <w:p w14:paraId="401A7438" w14:textId="21C7B914" w:rsidR="00727165" w:rsidRPr="000F36D4" w:rsidRDefault="00727165" w:rsidP="002213B5">
                  <w:pPr>
                    <w:autoSpaceDE w:val="0"/>
                    <w:autoSpaceDN w:val="0"/>
                    <w:adjustRightInd w:val="0"/>
                    <w:jc w:val="center"/>
                    <w:rPr>
                      <w:bCs/>
                    </w:rPr>
                  </w:pPr>
                  <w:r w:rsidRPr="000F36D4">
                    <w:rPr>
                      <w:bCs/>
                    </w:rPr>
                    <w:t>100</w:t>
                  </w:r>
                </w:p>
              </w:tc>
              <w:tc>
                <w:tcPr>
                  <w:tcW w:w="1346" w:type="dxa"/>
                </w:tcPr>
                <w:p w14:paraId="51E94CD4" w14:textId="77777777" w:rsidR="00727165" w:rsidRPr="000F36D4" w:rsidRDefault="00727165" w:rsidP="002213B5">
                  <w:pPr>
                    <w:autoSpaceDE w:val="0"/>
                    <w:autoSpaceDN w:val="0"/>
                    <w:adjustRightInd w:val="0"/>
                    <w:jc w:val="center"/>
                    <w:rPr>
                      <w:bCs/>
                    </w:rPr>
                  </w:pPr>
                </w:p>
              </w:tc>
              <w:tc>
                <w:tcPr>
                  <w:tcW w:w="1346" w:type="dxa"/>
                </w:tcPr>
                <w:p w14:paraId="7E353B9A" w14:textId="55C5D6A1" w:rsidR="00727165" w:rsidRPr="000F36D4" w:rsidRDefault="00727165" w:rsidP="002213B5">
                  <w:pPr>
                    <w:autoSpaceDE w:val="0"/>
                    <w:autoSpaceDN w:val="0"/>
                    <w:adjustRightInd w:val="0"/>
                    <w:jc w:val="center"/>
                    <w:rPr>
                      <w:bCs/>
                    </w:rPr>
                  </w:pPr>
                  <w:r w:rsidRPr="000F36D4">
                    <w:rPr>
                      <w:bCs/>
                    </w:rPr>
                    <w:t>1000</w:t>
                  </w:r>
                </w:p>
              </w:tc>
            </w:tr>
          </w:tbl>
          <w:p w14:paraId="34B29913" w14:textId="7CD67600" w:rsidR="00532C00" w:rsidRDefault="00532C00" w:rsidP="002213B5">
            <w:pPr>
              <w:autoSpaceDE w:val="0"/>
              <w:autoSpaceDN w:val="0"/>
              <w:adjustRightInd w:val="0"/>
              <w:jc w:val="both"/>
              <w:rPr>
                <w:bCs/>
              </w:rPr>
            </w:pPr>
          </w:p>
          <w:p w14:paraId="4A79C76C" w14:textId="0E3446C4" w:rsidR="00727165" w:rsidRDefault="00EE412D" w:rsidP="0035214D">
            <w:pPr>
              <w:autoSpaceDE w:val="0"/>
              <w:autoSpaceDN w:val="0"/>
              <w:adjustRightInd w:val="0"/>
              <w:ind w:firstLine="247"/>
              <w:jc w:val="both"/>
              <w:rPr>
                <w:bCs/>
              </w:rPr>
            </w:pPr>
            <w:r>
              <w:rPr>
                <w:bCs/>
              </w:rPr>
              <w:t>Gadā kompetences pārbaudes iestādes saņem vidēji 10 sūdzības</w:t>
            </w:r>
            <w:r w:rsidR="00727165">
              <w:rPr>
                <w:bCs/>
              </w:rPr>
              <w:t xml:space="preserve">. </w:t>
            </w:r>
            <w:r>
              <w:rPr>
                <w:bCs/>
              </w:rPr>
              <w:t>I</w:t>
            </w:r>
            <w:r w:rsidR="00727165">
              <w:rPr>
                <w:bCs/>
              </w:rPr>
              <w:t xml:space="preserve">epriekš minētajiem gadījumiem tiek pieņemts, ka aptuveni </w:t>
            </w:r>
            <w:r w:rsidR="007A7017">
              <w:rPr>
                <w:bCs/>
              </w:rPr>
              <w:t xml:space="preserve">2 </w:t>
            </w:r>
            <w:r w:rsidR="00727165">
              <w:rPr>
                <w:bCs/>
              </w:rPr>
              <w:t>gadījumos būs nepieciešamas padziļinātas pārbaudes, ku</w:t>
            </w:r>
            <w:r w:rsidR="0064755B">
              <w:rPr>
                <w:bCs/>
              </w:rPr>
              <w:t xml:space="preserve">r katrai būs nepieciešams veltīt vidēji </w:t>
            </w:r>
            <w:r w:rsidR="00727165">
              <w:rPr>
                <w:bCs/>
              </w:rPr>
              <w:t xml:space="preserve">24h </w:t>
            </w:r>
            <w:r w:rsidR="00727165">
              <w:rPr>
                <w:bCs/>
              </w:rPr>
              <w:lastRenderedPageBreak/>
              <w:t>eksperta darba</w:t>
            </w:r>
            <w:r w:rsidR="0064755B">
              <w:rPr>
                <w:bCs/>
              </w:rPr>
              <w:t xml:space="preserve">, </w:t>
            </w:r>
            <w:r w:rsidR="007A7017">
              <w:rPr>
                <w:bCs/>
              </w:rPr>
              <w:t xml:space="preserve">kā arī būs nepieciešami juridiskie pakalpojumi. </w:t>
            </w:r>
            <w:r w:rsidR="00727165">
              <w:rPr>
                <w:bCs/>
              </w:rPr>
              <w:t>Šajās padziļinātajās pārbaudēs tiks paredzēts ekspertu izbraukums uz objektiem, lai pārbaudītu neatkarīgu ekspertu veikto darbu.</w:t>
            </w:r>
          </w:p>
          <w:p w14:paraId="7FE760E7" w14:textId="6BE35701" w:rsidR="00F6583D" w:rsidRDefault="00F6583D" w:rsidP="002213B5">
            <w:pPr>
              <w:autoSpaceDE w:val="0"/>
              <w:autoSpaceDN w:val="0"/>
              <w:adjustRightInd w:val="0"/>
              <w:jc w:val="both"/>
              <w:rPr>
                <w:bCs/>
              </w:rPr>
            </w:pPr>
          </w:p>
          <w:p w14:paraId="5005652B" w14:textId="446F242E" w:rsidR="00727165" w:rsidRPr="00792630" w:rsidRDefault="00EE412D" w:rsidP="00137C05">
            <w:pPr>
              <w:pStyle w:val="ListParagraph"/>
              <w:numPr>
                <w:ilvl w:val="0"/>
                <w:numId w:val="20"/>
              </w:numPr>
              <w:autoSpaceDE w:val="0"/>
              <w:autoSpaceDN w:val="0"/>
              <w:adjustRightInd w:val="0"/>
              <w:jc w:val="both"/>
              <w:rPr>
                <w:bCs/>
              </w:rPr>
            </w:pPr>
            <w:r>
              <w:rPr>
                <w:bCs/>
              </w:rPr>
              <w:t>noteikumi Nr.531 noteic</w:t>
            </w:r>
            <w:r w:rsidR="00727165" w:rsidRPr="00F6583D">
              <w:rPr>
                <w:bCs/>
              </w:rPr>
              <w:t>,</w:t>
            </w:r>
            <w:r>
              <w:rPr>
                <w:bCs/>
              </w:rPr>
              <w:t xml:space="preserve"> ka</w:t>
            </w:r>
            <w:r w:rsidR="00727165" w:rsidRPr="00F6583D">
              <w:rPr>
                <w:bCs/>
              </w:rPr>
              <w:t xml:space="preserve"> kompetences pārbaudes iest</w:t>
            </w:r>
            <w:r w:rsidR="00727165" w:rsidRPr="00792630">
              <w:rPr>
                <w:bCs/>
              </w:rPr>
              <w:t>ādēm patstāvīgi jāpārbauda neatkarīgu ekspertu ievadītā informācija Būvniecības informācijas sistēmā, jāpārbauda vai eksperts ir veicis maksājumus par patstāvīgās prakses uzraudzību, kā arī noteikumos noteiktajā kārtībā jāievada informācija par pārkāpumiem un pieņemtajiem lēmumiem.</w:t>
            </w:r>
          </w:p>
          <w:p w14:paraId="45AF38B5" w14:textId="6E1F48FA" w:rsidR="00727165" w:rsidRDefault="00727165" w:rsidP="002213B5">
            <w:pPr>
              <w:autoSpaceDE w:val="0"/>
              <w:autoSpaceDN w:val="0"/>
              <w:adjustRightInd w:val="0"/>
              <w:jc w:val="both"/>
              <w:rPr>
                <w:bCs/>
              </w:rPr>
            </w:pPr>
          </w:p>
          <w:p w14:paraId="413F803A" w14:textId="13844B77" w:rsidR="00727165" w:rsidRPr="000F36D4" w:rsidRDefault="00727165" w:rsidP="002213B5">
            <w:pPr>
              <w:autoSpaceDE w:val="0"/>
              <w:autoSpaceDN w:val="0"/>
              <w:adjustRightInd w:val="0"/>
              <w:jc w:val="both"/>
              <w:rPr>
                <w:b/>
                <w:bCs/>
              </w:rPr>
            </w:pPr>
            <w:r w:rsidRPr="000F36D4">
              <w:rPr>
                <w:b/>
                <w:bCs/>
              </w:rPr>
              <w:t>Tiešās izmaksas:</w:t>
            </w:r>
          </w:p>
          <w:tbl>
            <w:tblPr>
              <w:tblStyle w:val="TableGrid"/>
              <w:tblW w:w="0" w:type="auto"/>
              <w:tblLook w:val="04A0" w:firstRow="1" w:lastRow="0" w:firstColumn="1" w:lastColumn="0" w:noHBand="0" w:noVBand="1"/>
            </w:tblPr>
            <w:tblGrid>
              <w:gridCol w:w="1429"/>
              <w:gridCol w:w="1136"/>
              <w:gridCol w:w="1043"/>
              <w:gridCol w:w="1350"/>
              <w:gridCol w:w="1030"/>
            </w:tblGrid>
            <w:tr w:rsidR="00727165" w14:paraId="056FD114" w14:textId="77777777" w:rsidTr="00727165">
              <w:tc>
                <w:tcPr>
                  <w:tcW w:w="1345" w:type="dxa"/>
                </w:tcPr>
                <w:p w14:paraId="6D2D2066" w14:textId="7E22DE3F" w:rsidR="00727165" w:rsidRDefault="00727165" w:rsidP="002213B5">
                  <w:pPr>
                    <w:autoSpaceDE w:val="0"/>
                    <w:autoSpaceDN w:val="0"/>
                    <w:adjustRightInd w:val="0"/>
                    <w:jc w:val="both"/>
                    <w:rPr>
                      <w:bCs/>
                    </w:rPr>
                  </w:pPr>
                  <w:r>
                    <w:rPr>
                      <w:bCs/>
                    </w:rPr>
                    <w:t xml:space="preserve">Rādītājs </w:t>
                  </w:r>
                  <w:r w:rsidRPr="00585162">
                    <w:rPr>
                      <w:bCs/>
                      <w:i/>
                    </w:rPr>
                    <w:t>(izmaksu veids)</w:t>
                  </w:r>
                </w:p>
              </w:tc>
              <w:tc>
                <w:tcPr>
                  <w:tcW w:w="1346" w:type="dxa"/>
                </w:tcPr>
                <w:p w14:paraId="7CFDAC0F" w14:textId="5BE06BFC" w:rsidR="00727165" w:rsidRDefault="00727165" w:rsidP="002213B5">
                  <w:pPr>
                    <w:autoSpaceDE w:val="0"/>
                    <w:autoSpaceDN w:val="0"/>
                    <w:adjustRightInd w:val="0"/>
                    <w:jc w:val="both"/>
                    <w:rPr>
                      <w:bCs/>
                    </w:rPr>
                  </w:pPr>
                  <w:r>
                    <w:rPr>
                      <w:bCs/>
                    </w:rPr>
                    <w:t>Skaits gadā</w:t>
                  </w:r>
                </w:p>
                <w:p w14:paraId="4B9B975C" w14:textId="5EFFE15F" w:rsidR="00EE412D" w:rsidRPr="00585162" w:rsidRDefault="00EE412D" w:rsidP="002213B5">
                  <w:pPr>
                    <w:autoSpaceDE w:val="0"/>
                    <w:autoSpaceDN w:val="0"/>
                    <w:adjustRightInd w:val="0"/>
                    <w:jc w:val="both"/>
                    <w:rPr>
                      <w:bCs/>
                      <w:i/>
                    </w:rPr>
                  </w:pPr>
                  <w:r w:rsidRPr="00585162">
                    <w:rPr>
                      <w:bCs/>
                      <w:i/>
                    </w:rPr>
                    <w:t>(eksperti)</w:t>
                  </w:r>
                </w:p>
                <w:p w14:paraId="7740ED9A" w14:textId="0E966324" w:rsidR="00727165" w:rsidRDefault="00727165" w:rsidP="002213B5">
                  <w:pPr>
                    <w:autoSpaceDE w:val="0"/>
                    <w:autoSpaceDN w:val="0"/>
                    <w:adjustRightInd w:val="0"/>
                    <w:jc w:val="both"/>
                    <w:rPr>
                      <w:bCs/>
                    </w:rPr>
                  </w:pPr>
                </w:p>
              </w:tc>
              <w:tc>
                <w:tcPr>
                  <w:tcW w:w="1346" w:type="dxa"/>
                </w:tcPr>
                <w:p w14:paraId="10E8133A" w14:textId="489DAC84" w:rsidR="00727165" w:rsidRDefault="00727165" w:rsidP="002213B5">
                  <w:pPr>
                    <w:autoSpaceDE w:val="0"/>
                    <w:autoSpaceDN w:val="0"/>
                    <w:adjustRightInd w:val="0"/>
                    <w:jc w:val="both"/>
                    <w:rPr>
                      <w:bCs/>
                    </w:rPr>
                  </w:pPr>
                  <w:r>
                    <w:rPr>
                      <w:bCs/>
                    </w:rPr>
                    <w:t xml:space="preserve">Likme </w:t>
                  </w:r>
                  <w:r w:rsidRPr="00585162">
                    <w:rPr>
                      <w:bCs/>
                      <w:i/>
                    </w:rPr>
                    <w:t>(E</w:t>
                  </w:r>
                  <w:r w:rsidR="0061120F" w:rsidRPr="00585162">
                    <w:rPr>
                      <w:bCs/>
                      <w:i/>
                    </w:rPr>
                    <w:t>ur</w:t>
                  </w:r>
                  <w:r w:rsidR="003A0A85" w:rsidRPr="00585162">
                    <w:rPr>
                      <w:bCs/>
                      <w:i/>
                    </w:rPr>
                    <w:t>o</w:t>
                  </w:r>
                  <w:r w:rsidRPr="00585162">
                    <w:rPr>
                      <w:bCs/>
                      <w:i/>
                    </w:rPr>
                    <w:t>/h)</w:t>
                  </w:r>
                </w:p>
              </w:tc>
              <w:tc>
                <w:tcPr>
                  <w:tcW w:w="1346" w:type="dxa"/>
                </w:tcPr>
                <w:p w14:paraId="2E6D2949" w14:textId="77777777" w:rsidR="00727165" w:rsidRDefault="00727165" w:rsidP="002213B5">
                  <w:pPr>
                    <w:autoSpaceDE w:val="0"/>
                    <w:autoSpaceDN w:val="0"/>
                    <w:adjustRightInd w:val="0"/>
                    <w:jc w:val="both"/>
                    <w:rPr>
                      <w:bCs/>
                    </w:rPr>
                  </w:pPr>
                  <w:r>
                    <w:rPr>
                      <w:bCs/>
                    </w:rPr>
                    <w:t>Laika ieguldījums</w:t>
                  </w:r>
                </w:p>
                <w:p w14:paraId="3236494D" w14:textId="373E1340" w:rsidR="0061120F" w:rsidRPr="00585162" w:rsidRDefault="0061120F" w:rsidP="002213B5">
                  <w:pPr>
                    <w:autoSpaceDE w:val="0"/>
                    <w:autoSpaceDN w:val="0"/>
                    <w:adjustRightInd w:val="0"/>
                    <w:jc w:val="both"/>
                    <w:rPr>
                      <w:bCs/>
                      <w:i/>
                    </w:rPr>
                  </w:pPr>
                  <w:r w:rsidRPr="00585162">
                    <w:rPr>
                      <w:bCs/>
                      <w:i/>
                    </w:rPr>
                    <w:t>(h)</w:t>
                  </w:r>
                </w:p>
              </w:tc>
              <w:tc>
                <w:tcPr>
                  <w:tcW w:w="1346" w:type="dxa"/>
                </w:tcPr>
                <w:p w14:paraId="67A6CF69" w14:textId="0E3240BB" w:rsidR="00727165" w:rsidRDefault="0061120F" w:rsidP="002213B5">
                  <w:pPr>
                    <w:autoSpaceDE w:val="0"/>
                    <w:autoSpaceDN w:val="0"/>
                    <w:adjustRightInd w:val="0"/>
                    <w:jc w:val="both"/>
                    <w:rPr>
                      <w:bCs/>
                    </w:rPr>
                  </w:pPr>
                  <w:r>
                    <w:rPr>
                      <w:bCs/>
                    </w:rPr>
                    <w:t xml:space="preserve">Izmaksu apjoms gadā </w:t>
                  </w:r>
                  <w:r w:rsidRPr="00585162">
                    <w:rPr>
                      <w:bCs/>
                      <w:i/>
                    </w:rPr>
                    <w:t>(</w:t>
                  </w:r>
                  <w:r w:rsidR="00727165" w:rsidRPr="00585162">
                    <w:rPr>
                      <w:bCs/>
                      <w:i/>
                    </w:rPr>
                    <w:t>E</w:t>
                  </w:r>
                  <w:r w:rsidRPr="00585162">
                    <w:rPr>
                      <w:bCs/>
                      <w:i/>
                    </w:rPr>
                    <w:t>ur</w:t>
                  </w:r>
                  <w:r w:rsidR="003A0A85" w:rsidRPr="00585162">
                    <w:rPr>
                      <w:bCs/>
                      <w:i/>
                    </w:rPr>
                    <w:t>o</w:t>
                  </w:r>
                  <w:r w:rsidRPr="00585162">
                    <w:rPr>
                      <w:bCs/>
                      <w:i/>
                    </w:rPr>
                    <w:t>)</w:t>
                  </w:r>
                </w:p>
              </w:tc>
            </w:tr>
            <w:tr w:rsidR="00727165" w14:paraId="21AA9B92" w14:textId="77777777" w:rsidTr="00727165">
              <w:tc>
                <w:tcPr>
                  <w:tcW w:w="1345" w:type="dxa"/>
                </w:tcPr>
                <w:p w14:paraId="03FCC56C" w14:textId="25793E1D" w:rsidR="00727165" w:rsidRDefault="00727165" w:rsidP="002213B5">
                  <w:pPr>
                    <w:autoSpaceDE w:val="0"/>
                    <w:autoSpaceDN w:val="0"/>
                    <w:adjustRightInd w:val="0"/>
                    <w:jc w:val="both"/>
                    <w:rPr>
                      <w:bCs/>
                    </w:rPr>
                  </w:pPr>
                  <w:r>
                    <w:rPr>
                      <w:bCs/>
                    </w:rPr>
                    <w:t>Informācijas ievade</w:t>
                  </w:r>
                  <w:r w:rsidR="00137C05">
                    <w:rPr>
                      <w:bCs/>
                    </w:rPr>
                    <w:t xml:space="preserve"> un pārbaude</w:t>
                  </w:r>
                  <w:r>
                    <w:rPr>
                      <w:bCs/>
                    </w:rPr>
                    <w:t xml:space="preserve"> BIS</w:t>
                  </w:r>
                </w:p>
              </w:tc>
              <w:tc>
                <w:tcPr>
                  <w:tcW w:w="1346" w:type="dxa"/>
                </w:tcPr>
                <w:p w14:paraId="132E846C" w14:textId="12342308" w:rsidR="00727165" w:rsidRDefault="006B630D" w:rsidP="002213B5">
                  <w:pPr>
                    <w:autoSpaceDE w:val="0"/>
                    <w:autoSpaceDN w:val="0"/>
                    <w:adjustRightInd w:val="0"/>
                    <w:jc w:val="both"/>
                    <w:rPr>
                      <w:bCs/>
                    </w:rPr>
                  </w:pPr>
                  <w:r>
                    <w:rPr>
                      <w:bCs/>
                    </w:rPr>
                    <w:t>93</w:t>
                  </w:r>
                </w:p>
              </w:tc>
              <w:tc>
                <w:tcPr>
                  <w:tcW w:w="1346" w:type="dxa"/>
                </w:tcPr>
                <w:p w14:paraId="7A9AE1F2" w14:textId="3A2C9148" w:rsidR="00727165" w:rsidRDefault="00727165" w:rsidP="002213B5">
                  <w:pPr>
                    <w:autoSpaceDE w:val="0"/>
                    <w:autoSpaceDN w:val="0"/>
                    <w:adjustRightInd w:val="0"/>
                    <w:jc w:val="both"/>
                    <w:rPr>
                      <w:bCs/>
                    </w:rPr>
                  </w:pPr>
                  <w:r>
                    <w:rPr>
                      <w:bCs/>
                    </w:rPr>
                    <w:t>15</w:t>
                  </w:r>
                </w:p>
              </w:tc>
              <w:tc>
                <w:tcPr>
                  <w:tcW w:w="1346" w:type="dxa"/>
                </w:tcPr>
                <w:p w14:paraId="22DB0264" w14:textId="5ACE4EBF" w:rsidR="00727165" w:rsidRDefault="00727165" w:rsidP="002213B5">
                  <w:pPr>
                    <w:autoSpaceDE w:val="0"/>
                    <w:autoSpaceDN w:val="0"/>
                    <w:adjustRightInd w:val="0"/>
                    <w:jc w:val="both"/>
                    <w:rPr>
                      <w:bCs/>
                    </w:rPr>
                  </w:pPr>
                  <w:r>
                    <w:rPr>
                      <w:bCs/>
                    </w:rPr>
                    <w:t>1</w:t>
                  </w:r>
                </w:p>
              </w:tc>
              <w:tc>
                <w:tcPr>
                  <w:tcW w:w="1346" w:type="dxa"/>
                </w:tcPr>
                <w:p w14:paraId="46F78B5F" w14:textId="7530B3A2" w:rsidR="00727165" w:rsidRDefault="006B630D" w:rsidP="002213B5">
                  <w:pPr>
                    <w:autoSpaceDE w:val="0"/>
                    <w:autoSpaceDN w:val="0"/>
                    <w:adjustRightInd w:val="0"/>
                    <w:jc w:val="both"/>
                    <w:rPr>
                      <w:bCs/>
                    </w:rPr>
                  </w:pPr>
                  <w:r>
                    <w:rPr>
                      <w:bCs/>
                    </w:rPr>
                    <w:t>1395</w:t>
                  </w:r>
                </w:p>
              </w:tc>
            </w:tr>
          </w:tbl>
          <w:p w14:paraId="554FCDD9" w14:textId="0ED5ADF3" w:rsidR="00727165" w:rsidRDefault="00727165" w:rsidP="002213B5">
            <w:pPr>
              <w:autoSpaceDE w:val="0"/>
              <w:autoSpaceDN w:val="0"/>
              <w:adjustRightInd w:val="0"/>
              <w:jc w:val="both"/>
              <w:rPr>
                <w:bCs/>
              </w:rPr>
            </w:pPr>
          </w:p>
          <w:p w14:paraId="3FAECE04" w14:textId="686843DD" w:rsidR="00671D34" w:rsidRDefault="00671D34" w:rsidP="002213B5">
            <w:pPr>
              <w:autoSpaceDE w:val="0"/>
              <w:autoSpaceDN w:val="0"/>
              <w:adjustRightInd w:val="0"/>
              <w:jc w:val="both"/>
              <w:rPr>
                <w:bCs/>
              </w:rPr>
            </w:pPr>
            <w:r w:rsidRPr="000F36D4">
              <w:rPr>
                <w:b/>
                <w:bCs/>
              </w:rPr>
              <w:t>Netiešo izdevumu aprēķins:</w:t>
            </w:r>
          </w:p>
          <w:tbl>
            <w:tblPr>
              <w:tblStyle w:val="TableGrid"/>
              <w:tblW w:w="0" w:type="auto"/>
              <w:tblLook w:val="04A0" w:firstRow="1" w:lastRow="0" w:firstColumn="1" w:lastColumn="0" w:noHBand="0" w:noVBand="1"/>
            </w:tblPr>
            <w:tblGrid>
              <w:gridCol w:w="2453"/>
              <w:gridCol w:w="3322"/>
            </w:tblGrid>
            <w:tr w:rsidR="00671D34" w14:paraId="5F8BB271" w14:textId="77777777" w:rsidTr="006315E4">
              <w:trPr>
                <w:trHeight w:val="654"/>
              </w:trPr>
              <w:tc>
                <w:tcPr>
                  <w:tcW w:w="2453" w:type="dxa"/>
                </w:tcPr>
                <w:p w14:paraId="2EA39B9C" w14:textId="5D674EB8" w:rsidR="00671D34" w:rsidRPr="000F36D4" w:rsidRDefault="00671D34" w:rsidP="000F36D4">
                  <w:pPr>
                    <w:autoSpaceDE w:val="0"/>
                    <w:autoSpaceDN w:val="0"/>
                    <w:adjustRightInd w:val="0"/>
                    <w:jc w:val="center"/>
                    <w:rPr>
                      <w:bCs/>
                    </w:rPr>
                  </w:pPr>
                  <w:r w:rsidRPr="000F36D4">
                    <w:rPr>
                      <w:bCs/>
                    </w:rPr>
                    <w:t xml:space="preserve">Rādītājs </w:t>
                  </w:r>
                  <w:r w:rsidRPr="00585162">
                    <w:rPr>
                      <w:bCs/>
                      <w:i/>
                    </w:rPr>
                    <w:t>(izmaksu veids)</w:t>
                  </w:r>
                </w:p>
              </w:tc>
              <w:tc>
                <w:tcPr>
                  <w:tcW w:w="3322" w:type="dxa"/>
                </w:tcPr>
                <w:p w14:paraId="63AF84EF" w14:textId="63F02116" w:rsidR="00671D34" w:rsidRPr="000F36D4" w:rsidRDefault="00671D34" w:rsidP="000F36D4">
                  <w:pPr>
                    <w:autoSpaceDE w:val="0"/>
                    <w:autoSpaceDN w:val="0"/>
                    <w:adjustRightInd w:val="0"/>
                    <w:jc w:val="center"/>
                    <w:rPr>
                      <w:bCs/>
                    </w:rPr>
                  </w:pPr>
                  <w:r w:rsidRPr="000F36D4">
                    <w:rPr>
                      <w:bCs/>
                    </w:rPr>
                    <w:t xml:space="preserve">Izmaksu apjoms gadā </w:t>
                  </w:r>
                  <w:r w:rsidRPr="00585162">
                    <w:rPr>
                      <w:bCs/>
                      <w:i/>
                    </w:rPr>
                    <w:t>(E</w:t>
                  </w:r>
                  <w:r w:rsidR="0061120F" w:rsidRPr="00585162">
                    <w:rPr>
                      <w:bCs/>
                      <w:i/>
                    </w:rPr>
                    <w:t>ur</w:t>
                  </w:r>
                  <w:r w:rsidR="003A0A85" w:rsidRPr="00585162">
                    <w:rPr>
                      <w:bCs/>
                      <w:i/>
                    </w:rPr>
                    <w:t>o</w:t>
                  </w:r>
                  <w:r w:rsidRPr="00585162">
                    <w:rPr>
                      <w:bCs/>
                      <w:i/>
                    </w:rPr>
                    <w:t>)</w:t>
                  </w:r>
                </w:p>
              </w:tc>
            </w:tr>
            <w:tr w:rsidR="00671D34" w14:paraId="29E42F1E" w14:textId="77777777" w:rsidTr="006315E4">
              <w:tc>
                <w:tcPr>
                  <w:tcW w:w="2453" w:type="dxa"/>
                </w:tcPr>
                <w:p w14:paraId="66ABAE0C" w14:textId="16B72B59" w:rsidR="00671D34" w:rsidRPr="000F36D4" w:rsidRDefault="00671D34" w:rsidP="002213B5">
                  <w:pPr>
                    <w:autoSpaceDE w:val="0"/>
                    <w:autoSpaceDN w:val="0"/>
                    <w:adjustRightInd w:val="0"/>
                    <w:jc w:val="both"/>
                    <w:rPr>
                      <w:bCs/>
                    </w:rPr>
                  </w:pPr>
                  <w:r w:rsidRPr="000F36D4">
                    <w:rPr>
                      <w:bCs/>
                    </w:rPr>
                    <w:t>Transporta, sakaru, darbības nodrošināšanas u.tml. izmaksas</w:t>
                  </w:r>
                </w:p>
              </w:tc>
              <w:tc>
                <w:tcPr>
                  <w:tcW w:w="3322" w:type="dxa"/>
                </w:tcPr>
                <w:p w14:paraId="4DAABB67" w14:textId="243D1B4B" w:rsidR="00671D34" w:rsidRPr="000F36D4" w:rsidRDefault="00671D34" w:rsidP="00E16098">
                  <w:pPr>
                    <w:autoSpaceDE w:val="0"/>
                    <w:autoSpaceDN w:val="0"/>
                    <w:adjustRightInd w:val="0"/>
                    <w:jc w:val="center"/>
                    <w:rPr>
                      <w:bCs/>
                    </w:rPr>
                  </w:pPr>
                  <w:r w:rsidRPr="000F36D4">
                    <w:rPr>
                      <w:bCs/>
                    </w:rPr>
                    <w:t>200</w:t>
                  </w:r>
                </w:p>
              </w:tc>
            </w:tr>
            <w:tr w:rsidR="00671D34" w14:paraId="3E4556E7" w14:textId="77777777" w:rsidTr="006315E4">
              <w:tc>
                <w:tcPr>
                  <w:tcW w:w="2453" w:type="dxa"/>
                </w:tcPr>
                <w:p w14:paraId="0D498F4B" w14:textId="669C2C46" w:rsidR="00671D34" w:rsidRPr="000F36D4" w:rsidRDefault="00671D34" w:rsidP="002213B5">
                  <w:pPr>
                    <w:autoSpaceDE w:val="0"/>
                    <w:autoSpaceDN w:val="0"/>
                    <w:adjustRightInd w:val="0"/>
                    <w:jc w:val="both"/>
                    <w:rPr>
                      <w:bCs/>
                    </w:rPr>
                  </w:pPr>
                  <w:r w:rsidRPr="000F36D4">
                    <w:rPr>
                      <w:bCs/>
                    </w:rPr>
                    <w:t>Biroja administrators</w:t>
                  </w:r>
                </w:p>
              </w:tc>
              <w:tc>
                <w:tcPr>
                  <w:tcW w:w="3322" w:type="dxa"/>
                </w:tcPr>
                <w:p w14:paraId="6CACDA73" w14:textId="526E5026" w:rsidR="00671D34" w:rsidRPr="000F36D4" w:rsidRDefault="00671D34" w:rsidP="00E16098">
                  <w:pPr>
                    <w:autoSpaceDE w:val="0"/>
                    <w:autoSpaceDN w:val="0"/>
                    <w:adjustRightInd w:val="0"/>
                    <w:jc w:val="center"/>
                    <w:rPr>
                      <w:bCs/>
                    </w:rPr>
                  </w:pPr>
                  <w:r w:rsidRPr="000F36D4">
                    <w:rPr>
                      <w:bCs/>
                    </w:rPr>
                    <w:t>3600</w:t>
                  </w:r>
                </w:p>
              </w:tc>
            </w:tr>
            <w:tr w:rsidR="00671D34" w14:paraId="34EC482B" w14:textId="77777777" w:rsidTr="006315E4">
              <w:tc>
                <w:tcPr>
                  <w:tcW w:w="2453" w:type="dxa"/>
                </w:tcPr>
                <w:p w14:paraId="0523AFC4" w14:textId="36678151" w:rsidR="00671D34" w:rsidRPr="000F36D4" w:rsidRDefault="00671D34" w:rsidP="002213B5">
                  <w:pPr>
                    <w:autoSpaceDE w:val="0"/>
                    <w:autoSpaceDN w:val="0"/>
                    <w:adjustRightInd w:val="0"/>
                    <w:jc w:val="both"/>
                    <w:rPr>
                      <w:bCs/>
                    </w:rPr>
                  </w:pPr>
                  <w:r w:rsidRPr="000F36D4">
                    <w:rPr>
                      <w:bCs/>
                    </w:rPr>
                    <w:t>Biroja vadītājs</w:t>
                  </w:r>
                </w:p>
              </w:tc>
              <w:tc>
                <w:tcPr>
                  <w:tcW w:w="3322" w:type="dxa"/>
                </w:tcPr>
                <w:p w14:paraId="2BCB64F1" w14:textId="204F50FF" w:rsidR="00671D34" w:rsidRPr="000F36D4" w:rsidRDefault="00671D34" w:rsidP="00E16098">
                  <w:pPr>
                    <w:autoSpaceDE w:val="0"/>
                    <w:autoSpaceDN w:val="0"/>
                    <w:adjustRightInd w:val="0"/>
                    <w:jc w:val="center"/>
                    <w:rPr>
                      <w:bCs/>
                    </w:rPr>
                  </w:pPr>
                  <w:r w:rsidRPr="000F36D4">
                    <w:rPr>
                      <w:bCs/>
                    </w:rPr>
                    <w:t>2400</w:t>
                  </w:r>
                </w:p>
              </w:tc>
            </w:tr>
            <w:tr w:rsidR="00671D34" w14:paraId="490EEA79" w14:textId="77777777" w:rsidTr="006315E4">
              <w:tc>
                <w:tcPr>
                  <w:tcW w:w="2453" w:type="dxa"/>
                </w:tcPr>
                <w:p w14:paraId="6799728F" w14:textId="6D4E0012" w:rsidR="00671D34" w:rsidRPr="000F36D4" w:rsidRDefault="00671D34" w:rsidP="002213B5">
                  <w:pPr>
                    <w:autoSpaceDE w:val="0"/>
                    <w:autoSpaceDN w:val="0"/>
                    <w:adjustRightInd w:val="0"/>
                    <w:jc w:val="both"/>
                    <w:rPr>
                      <w:bCs/>
                    </w:rPr>
                  </w:pPr>
                  <w:r w:rsidRPr="000F36D4">
                    <w:rPr>
                      <w:bCs/>
                    </w:rPr>
                    <w:t>Kvalitātes vadītājs</w:t>
                  </w:r>
                </w:p>
              </w:tc>
              <w:tc>
                <w:tcPr>
                  <w:tcW w:w="3322" w:type="dxa"/>
                </w:tcPr>
                <w:p w14:paraId="3F4B5BD6" w14:textId="6F0CA4F4" w:rsidR="00671D34" w:rsidRPr="000F36D4" w:rsidRDefault="00671D34" w:rsidP="00E16098">
                  <w:pPr>
                    <w:autoSpaceDE w:val="0"/>
                    <w:autoSpaceDN w:val="0"/>
                    <w:adjustRightInd w:val="0"/>
                    <w:jc w:val="center"/>
                    <w:rPr>
                      <w:bCs/>
                    </w:rPr>
                  </w:pPr>
                  <w:r w:rsidRPr="000F36D4">
                    <w:rPr>
                      <w:bCs/>
                    </w:rPr>
                    <w:t>2400</w:t>
                  </w:r>
                </w:p>
              </w:tc>
            </w:tr>
            <w:tr w:rsidR="00671D34" w14:paraId="506BF503" w14:textId="77777777" w:rsidTr="006315E4">
              <w:tc>
                <w:tcPr>
                  <w:tcW w:w="2453" w:type="dxa"/>
                </w:tcPr>
                <w:p w14:paraId="5C45F39B" w14:textId="30840587" w:rsidR="00671D34" w:rsidRPr="000F36D4" w:rsidRDefault="00671D34" w:rsidP="002213B5">
                  <w:pPr>
                    <w:autoSpaceDE w:val="0"/>
                    <w:autoSpaceDN w:val="0"/>
                    <w:adjustRightInd w:val="0"/>
                    <w:jc w:val="both"/>
                    <w:rPr>
                      <w:bCs/>
                    </w:rPr>
                  </w:pPr>
                  <w:r w:rsidRPr="000F36D4">
                    <w:rPr>
                      <w:bCs/>
                    </w:rPr>
                    <w:t>Grāmatvedība</w:t>
                  </w:r>
                </w:p>
              </w:tc>
              <w:tc>
                <w:tcPr>
                  <w:tcW w:w="3322" w:type="dxa"/>
                </w:tcPr>
                <w:p w14:paraId="36F42CEB" w14:textId="5306275E" w:rsidR="00671D34" w:rsidRPr="000F36D4" w:rsidRDefault="00671D34" w:rsidP="00E16098">
                  <w:pPr>
                    <w:autoSpaceDE w:val="0"/>
                    <w:autoSpaceDN w:val="0"/>
                    <w:adjustRightInd w:val="0"/>
                    <w:jc w:val="center"/>
                    <w:rPr>
                      <w:bCs/>
                    </w:rPr>
                  </w:pPr>
                  <w:r w:rsidRPr="000F36D4">
                    <w:rPr>
                      <w:bCs/>
                    </w:rPr>
                    <w:t>500</w:t>
                  </w:r>
                </w:p>
              </w:tc>
            </w:tr>
            <w:tr w:rsidR="00671D34" w14:paraId="2B3043D9" w14:textId="77777777" w:rsidTr="006315E4">
              <w:tc>
                <w:tcPr>
                  <w:tcW w:w="2453" w:type="dxa"/>
                </w:tcPr>
                <w:p w14:paraId="58A34310" w14:textId="4A056153" w:rsidR="00671D34" w:rsidRPr="000F36D4" w:rsidRDefault="00671D34" w:rsidP="002213B5">
                  <w:pPr>
                    <w:autoSpaceDE w:val="0"/>
                    <w:autoSpaceDN w:val="0"/>
                    <w:adjustRightInd w:val="0"/>
                    <w:jc w:val="both"/>
                    <w:rPr>
                      <w:bCs/>
                    </w:rPr>
                  </w:pPr>
                  <w:r w:rsidRPr="000F36D4">
                    <w:rPr>
                      <w:bCs/>
                    </w:rPr>
                    <w:t>Finanšu</w:t>
                  </w:r>
                  <w:r w:rsidR="006315E4">
                    <w:rPr>
                      <w:bCs/>
                    </w:rPr>
                    <w:t> </w:t>
                  </w:r>
                  <w:r w:rsidRPr="000F36D4">
                    <w:rPr>
                      <w:bCs/>
                    </w:rPr>
                    <w:t>auditora izmaksas</w:t>
                  </w:r>
                </w:p>
              </w:tc>
              <w:tc>
                <w:tcPr>
                  <w:tcW w:w="3322" w:type="dxa"/>
                </w:tcPr>
                <w:p w14:paraId="53457898" w14:textId="246552AE" w:rsidR="00671D34" w:rsidRPr="000F36D4" w:rsidRDefault="00671D34" w:rsidP="00E16098">
                  <w:pPr>
                    <w:autoSpaceDE w:val="0"/>
                    <w:autoSpaceDN w:val="0"/>
                    <w:adjustRightInd w:val="0"/>
                    <w:jc w:val="center"/>
                    <w:rPr>
                      <w:bCs/>
                    </w:rPr>
                  </w:pPr>
                  <w:r w:rsidRPr="000F36D4">
                    <w:rPr>
                      <w:bCs/>
                    </w:rPr>
                    <w:t>900</w:t>
                  </w:r>
                </w:p>
              </w:tc>
            </w:tr>
            <w:tr w:rsidR="00671D34" w14:paraId="6B0DFC2F" w14:textId="77777777" w:rsidTr="006315E4">
              <w:tc>
                <w:tcPr>
                  <w:tcW w:w="2453" w:type="dxa"/>
                </w:tcPr>
                <w:p w14:paraId="4C2C1666" w14:textId="77B955F0" w:rsidR="00671D34" w:rsidRPr="000F36D4" w:rsidRDefault="00671D34" w:rsidP="002213B5">
                  <w:pPr>
                    <w:autoSpaceDE w:val="0"/>
                    <w:autoSpaceDN w:val="0"/>
                    <w:adjustRightInd w:val="0"/>
                    <w:jc w:val="both"/>
                    <w:rPr>
                      <w:bCs/>
                    </w:rPr>
                  </w:pPr>
                  <w:r w:rsidRPr="000F36D4">
                    <w:rPr>
                      <w:bCs/>
                    </w:rPr>
                    <w:t>Akreditācijas izmaksas</w:t>
                  </w:r>
                </w:p>
              </w:tc>
              <w:tc>
                <w:tcPr>
                  <w:tcW w:w="3322" w:type="dxa"/>
                </w:tcPr>
                <w:p w14:paraId="649CB664" w14:textId="1DC32AC0" w:rsidR="00671D34" w:rsidRPr="000F36D4" w:rsidRDefault="00671D34" w:rsidP="00E16098">
                  <w:pPr>
                    <w:autoSpaceDE w:val="0"/>
                    <w:autoSpaceDN w:val="0"/>
                    <w:adjustRightInd w:val="0"/>
                    <w:jc w:val="center"/>
                    <w:rPr>
                      <w:bCs/>
                    </w:rPr>
                  </w:pPr>
                  <w:r w:rsidRPr="000F36D4">
                    <w:rPr>
                      <w:bCs/>
                    </w:rPr>
                    <w:t>900</w:t>
                  </w:r>
                </w:p>
              </w:tc>
            </w:tr>
            <w:tr w:rsidR="00671D34" w14:paraId="3A31A75B" w14:textId="77777777" w:rsidTr="006315E4">
              <w:tc>
                <w:tcPr>
                  <w:tcW w:w="2453" w:type="dxa"/>
                </w:tcPr>
                <w:p w14:paraId="39AA77AD" w14:textId="6A78322F" w:rsidR="00671D34" w:rsidRPr="000F36D4" w:rsidRDefault="00671D34" w:rsidP="002213B5">
                  <w:pPr>
                    <w:autoSpaceDE w:val="0"/>
                    <w:autoSpaceDN w:val="0"/>
                    <w:adjustRightInd w:val="0"/>
                    <w:jc w:val="both"/>
                    <w:rPr>
                      <w:bCs/>
                    </w:rPr>
                  </w:pPr>
                  <w:r w:rsidRPr="000F36D4">
                    <w:rPr>
                      <w:bCs/>
                    </w:rPr>
                    <w:t>IT pakalpojumu uzturēšanas izdevumi</w:t>
                  </w:r>
                </w:p>
              </w:tc>
              <w:tc>
                <w:tcPr>
                  <w:tcW w:w="3322" w:type="dxa"/>
                </w:tcPr>
                <w:p w14:paraId="225F399B" w14:textId="6AE43AD9" w:rsidR="00671D34" w:rsidRPr="000F36D4" w:rsidRDefault="00671D34" w:rsidP="00E16098">
                  <w:pPr>
                    <w:autoSpaceDE w:val="0"/>
                    <w:autoSpaceDN w:val="0"/>
                    <w:adjustRightInd w:val="0"/>
                    <w:jc w:val="center"/>
                    <w:rPr>
                      <w:bCs/>
                    </w:rPr>
                  </w:pPr>
                  <w:r w:rsidRPr="000F36D4">
                    <w:rPr>
                      <w:bCs/>
                    </w:rPr>
                    <w:t>300</w:t>
                  </w:r>
                </w:p>
              </w:tc>
            </w:tr>
            <w:tr w:rsidR="00671D34" w14:paraId="746CFB37" w14:textId="77777777" w:rsidTr="006315E4">
              <w:tc>
                <w:tcPr>
                  <w:tcW w:w="2453" w:type="dxa"/>
                </w:tcPr>
                <w:p w14:paraId="18A56DB6" w14:textId="3D1D9891" w:rsidR="00671D34" w:rsidRPr="000F36D4" w:rsidRDefault="00671D34" w:rsidP="002213B5">
                  <w:pPr>
                    <w:autoSpaceDE w:val="0"/>
                    <w:autoSpaceDN w:val="0"/>
                    <w:adjustRightInd w:val="0"/>
                    <w:jc w:val="both"/>
                    <w:rPr>
                      <w:bCs/>
                    </w:rPr>
                  </w:pPr>
                  <w:r w:rsidRPr="000F36D4">
                    <w:rPr>
                      <w:bCs/>
                    </w:rPr>
                    <w:t>Profesionālās civiltiesiskās atbildības apdrošināšanas izdevumi</w:t>
                  </w:r>
                </w:p>
              </w:tc>
              <w:tc>
                <w:tcPr>
                  <w:tcW w:w="3322" w:type="dxa"/>
                </w:tcPr>
                <w:p w14:paraId="3A309265" w14:textId="50BB4867" w:rsidR="00671D34" w:rsidRPr="000F36D4" w:rsidRDefault="00671D34" w:rsidP="00E16098">
                  <w:pPr>
                    <w:autoSpaceDE w:val="0"/>
                    <w:autoSpaceDN w:val="0"/>
                    <w:adjustRightInd w:val="0"/>
                    <w:jc w:val="center"/>
                    <w:rPr>
                      <w:bCs/>
                    </w:rPr>
                  </w:pPr>
                  <w:r w:rsidRPr="000F36D4">
                    <w:rPr>
                      <w:bCs/>
                    </w:rPr>
                    <w:t>100</w:t>
                  </w:r>
                </w:p>
              </w:tc>
            </w:tr>
            <w:tr w:rsidR="00671D34" w14:paraId="6C7A334F" w14:textId="77777777" w:rsidTr="006315E4">
              <w:tc>
                <w:tcPr>
                  <w:tcW w:w="2453" w:type="dxa"/>
                </w:tcPr>
                <w:p w14:paraId="2030FDFC" w14:textId="2DD5E540" w:rsidR="00671D34" w:rsidRPr="000F36D4" w:rsidRDefault="00671D34" w:rsidP="002213B5">
                  <w:pPr>
                    <w:autoSpaceDE w:val="0"/>
                    <w:autoSpaceDN w:val="0"/>
                    <w:adjustRightInd w:val="0"/>
                    <w:jc w:val="both"/>
                    <w:rPr>
                      <w:bCs/>
                    </w:rPr>
                  </w:pPr>
                  <w:r w:rsidRPr="000F36D4">
                    <w:rPr>
                      <w:bCs/>
                    </w:rPr>
                    <w:t>Kursi, kvalifikācijas celšana ekspertiem</w:t>
                  </w:r>
                </w:p>
              </w:tc>
              <w:tc>
                <w:tcPr>
                  <w:tcW w:w="3322" w:type="dxa"/>
                </w:tcPr>
                <w:p w14:paraId="30CABB24" w14:textId="02884E60" w:rsidR="00671D34" w:rsidRPr="000F36D4" w:rsidRDefault="00671D34" w:rsidP="00E16098">
                  <w:pPr>
                    <w:autoSpaceDE w:val="0"/>
                    <w:autoSpaceDN w:val="0"/>
                    <w:adjustRightInd w:val="0"/>
                    <w:jc w:val="center"/>
                    <w:rPr>
                      <w:bCs/>
                    </w:rPr>
                  </w:pPr>
                  <w:r w:rsidRPr="000F36D4">
                    <w:rPr>
                      <w:bCs/>
                    </w:rPr>
                    <w:t>2000</w:t>
                  </w:r>
                </w:p>
              </w:tc>
            </w:tr>
            <w:tr w:rsidR="00671D34" w14:paraId="1B0A61E3" w14:textId="77777777" w:rsidTr="006315E4">
              <w:tc>
                <w:tcPr>
                  <w:tcW w:w="2453" w:type="dxa"/>
                </w:tcPr>
                <w:p w14:paraId="3785CBBC" w14:textId="18EAF603" w:rsidR="00671D34" w:rsidRPr="000F36D4" w:rsidRDefault="00671D34" w:rsidP="002213B5">
                  <w:pPr>
                    <w:autoSpaceDE w:val="0"/>
                    <w:autoSpaceDN w:val="0"/>
                    <w:adjustRightInd w:val="0"/>
                    <w:jc w:val="both"/>
                    <w:rPr>
                      <w:bCs/>
                    </w:rPr>
                  </w:pPr>
                  <w:r w:rsidRPr="000F36D4">
                    <w:rPr>
                      <w:bCs/>
                    </w:rPr>
                    <w:t>Telpu uzturēšanas izdevumi</w:t>
                  </w:r>
                </w:p>
              </w:tc>
              <w:tc>
                <w:tcPr>
                  <w:tcW w:w="3322" w:type="dxa"/>
                </w:tcPr>
                <w:p w14:paraId="63A06332" w14:textId="36F315EB" w:rsidR="00671D34" w:rsidRPr="000F36D4" w:rsidRDefault="00671D34" w:rsidP="00E16098">
                  <w:pPr>
                    <w:autoSpaceDE w:val="0"/>
                    <w:autoSpaceDN w:val="0"/>
                    <w:adjustRightInd w:val="0"/>
                    <w:jc w:val="center"/>
                    <w:rPr>
                      <w:bCs/>
                    </w:rPr>
                  </w:pPr>
                  <w:r w:rsidRPr="000F36D4">
                    <w:rPr>
                      <w:bCs/>
                    </w:rPr>
                    <w:t>700</w:t>
                  </w:r>
                </w:p>
              </w:tc>
            </w:tr>
            <w:tr w:rsidR="00671D34" w14:paraId="6A1E650A" w14:textId="77777777" w:rsidTr="006315E4">
              <w:tc>
                <w:tcPr>
                  <w:tcW w:w="2453" w:type="dxa"/>
                </w:tcPr>
                <w:p w14:paraId="35423707" w14:textId="222DBC6A" w:rsidR="00671D34" w:rsidRPr="000F36D4" w:rsidRDefault="00671D34" w:rsidP="002213B5">
                  <w:pPr>
                    <w:autoSpaceDE w:val="0"/>
                    <w:autoSpaceDN w:val="0"/>
                    <w:adjustRightInd w:val="0"/>
                    <w:jc w:val="both"/>
                    <w:rPr>
                      <w:bCs/>
                    </w:rPr>
                  </w:pPr>
                  <w:r w:rsidRPr="000F36D4">
                    <w:rPr>
                      <w:bCs/>
                    </w:rPr>
                    <w:t>Kancelejas un pasta izdevumi</w:t>
                  </w:r>
                </w:p>
              </w:tc>
              <w:tc>
                <w:tcPr>
                  <w:tcW w:w="3322" w:type="dxa"/>
                </w:tcPr>
                <w:p w14:paraId="386086C1" w14:textId="27CFD055" w:rsidR="00671D34" w:rsidRPr="000F36D4" w:rsidRDefault="00671D34" w:rsidP="00E16098">
                  <w:pPr>
                    <w:autoSpaceDE w:val="0"/>
                    <w:autoSpaceDN w:val="0"/>
                    <w:adjustRightInd w:val="0"/>
                    <w:jc w:val="center"/>
                    <w:rPr>
                      <w:bCs/>
                    </w:rPr>
                  </w:pPr>
                  <w:r w:rsidRPr="000F36D4">
                    <w:rPr>
                      <w:bCs/>
                    </w:rPr>
                    <w:t>180</w:t>
                  </w:r>
                </w:p>
              </w:tc>
            </w:tr>
          </w:tbl>
          <w:p w14:paraId="1D42266D" w14:textId="6C9E650B" w:rsidR="00792630" w:rsidRDefault="00F6583D" w:rsidP="0035214D">
            <w:pPr>
              <w:autoSpaceDE w:val="0"/>
              <w:autoSpaceDN w:val="0"/>
              <w:adjustRightInd w:val="0"/>
              <w:ind w:firstLine="247"/>
              <w:jc w:val="both"/>
              <w:rPr>
                <w:bCs/>
              </w:rPr>
            </w:pPr>
            <w:r>
              <w:rPr>
                <w:bCs/>
              </w:rPr>
              <w:lastRenderedPageBreak/>
              <w:t xml:space="preserve">Netiešo izmaksu </w:t>
            </w:r>
            <w:r w:rsidR="0035214D">
              <w:rPr>
                <w:bCs/>
              </w:rPr>
              <w:t xml:space="preserve">aprēķins </w:t>
            </w:r>
            <w:r>
              <w:rPr>
                <w:bCs/>
              </w:rPr>
              <w:t>par profesionālās darbības uzraudzību</w:t>
            </w:r>
            <w:r w:rsidR="00792630">
              <w:rPr>
                <w:bCs/>
              </w:rPr>
              <w:t>, tāpat kā 1.</w:t>
            </w:r>
            <w:r w:rsidR="0035214D">
              <w:rPr>
                <w:bCs/>
              </w:rPr>
              <w:t> </w:t>
            </w:r>
            <w:r w:rsidR="00792630">
              <w:rPr>
                <w:bCs/>
              </w:rPr>
              <w:t xml:space="preserve">aprēķina netiešajās </w:t>
            </w:r>
            <w:r w:rsidR="0035214D">
              <w:rPr>
                <w:bCs/>
              </w:rPr>
              <w:t>izmaksās</w:t>
            </w:r>
            <w:r w:rsidR="00792630">
              <w:rPr>
                <w:bCs/>
              </w:rPr>
              <w:t xml:space="preserve">, ir </w:t>
            </w:r>
            <w:r w:rsidR="0035214D">
              <w:rPr>
                <w:bCs/>
              </w:rPr>
              <w:t xml:space="preserve">veikts </w:t>
            </w:r>
            <w:r w:rsidR="00792630">
              <w:rPr>
                <w:bCs/>
              </w:rPr>
              <w:t>proporcionāli biroja darba noslodzei uz sniegtajiem pakalpojumiem, jo samaksa par pakalpojumiem tiek saņemta arī par neatkarīgu ekspertu kompetences pārbaudi un būvspeciālistu kompetences novērtēšanu un patstāvīgās prakses uzraudzību.</w:t>
            </w:r>
          </w:p>
          <w:p w14:paraId="72DA5AD2" w14:textId="5BBACB52" w:rsidR="00792630" w:rsidRDefault="00792630" w:rsidP="0035214D">
            <w:pPr>
              <w:autoSpaceDE w:val="0"/>
              <w:autoSpaceDN w:val="0"/>
              <w:adjustRightInd w:val="0"/>
              <w:ind w:firstLine="247"/>
              <w:jc w:val="both"/>
              <w:rPr>
                <w:bCs/>
              </w:rPr>
            </w:pPr>
            <w:r>
              <w:rPr>
                <w:bCs/>
              </w:rPr>
              <w:t>Netiešajās izmaksās norādītas izmaksas par kursiem un kvalifikācijas celšanu. Atbilstoši Latvijas standartam LVS NE ISO/IEC 17024:2012 “Atbilstības novērtēšana. Vispārīgās prasības personu sertificēšanas institūcijām”</w:t>
            </w:r>
            <w:r w:rsidR="007A7017">
              <w:rPr>
                <w:bCs/>
              </w:rPr>
              <w:t xml:space="preserve"> </w:t>
            </w:r>
            <w:r w:rsidR="00137C05">
              <w:rPr>
                <w:bCs/>
              </w:rPr>
              <w:t>6.1</w:t>
            </w:r>
            <w:r w:rsidR="0035214D">
              <w:rPr>
                <w:bCs/>
              </w:rPr>
              <w:t>. </w:t>
            </w:r>
            <w:r w:rsidR="00137C05">
              <w:rPr>
                <w:bCs/>
              </w:rPr>
              <w:t xml:space="preserve">apakšpunktā noteiktas vispārējās prasības personālam, kas tostarp nosaka, ka kompetences pārbaudes iestādei ir jāvada un jābūt atbildīgai par visā sertifikācijas procesā iesaistītā personāla izpildījumu. Standarts paredz, ka personālam ir jābūt kompetentam konkrētiem uzdevumiem un kompetences pārbaudes iestādei ir </w:t>
            </w:r>
            <w:r w:rsidR="007A7017">
              <w:rPr>
                <w:bCs/>
              </w:rPr>
              <w:t xml:space="preserve">atbildīga un tai </w:t>
            </w:r>
            <w:r w:rsidR="00137C05">
              <w:rPr>
                <w:bCs/>
              </w:rPr>
              <w:t xml:space="preserve">jāuztur personāla kvalifikācija, apmācība un pieredze.  </w:t>
            </w:r>
            <w:r w:rsidR="00DB7852">
              <w:rPr>
                <w:bCs/>
              </w:rPr>
              <w:t xml:space="preserve">Lai </w:t>
            </w:r>
            <w:r w:rsidR="00137C05">
              <w:rPr>
                <w:bCs/>
              </w:rPr>
              <w:t xml:space="preserve">kompetences pārbaudes iestādes katras jomas eksperti varētu uzturēt savu kompetenci un iestāde izpildītu standarta prasības, tiek paredzēts, ka gadā kompetences pārbaudes iestāde veltīs 2000 </w:t>
            </w:r>
            <w:r w:rsidR="00137C05" w:rsidRPr="0035214D">
              <w:rPr>
                <w:bCs/>
                <w:i/>
              </w:rPr>
              <w:t>euro</w:t>
            </w:r>
            <w:r w:rsidR="00137C05">
              <w:rPr>
                <w:bCs/>
              </w:rPr>
              <w:t xml:space="preserve"> kur</w:t>
            </w:r>
            <w:r w:rsidR="007A7017">
              <w:rPr>
                <w:bCs/>
              </w:rPr>
              <w:t>siem</w:t>
            </w:r>
            <w:r w:rsidR="00137C05">
              <w:rPr>
                <w:bCs/>
              </w:rPr>
              <w:t xml:space="preserve"> un kvalifikācijas celšanai.</w:t>
            </w:r>
          </w:p>
          <w:p w14:paraId="05CD0D65" w14:textId="77777777" w:rsidR="00792630" w:rsidRPr="00532C00" w:rsidRDefault="00792630" w:rsidP="002213B5">
            <w:pPr>
              <w:autoSpaceDE w:val="0"/>
              <w:autoSpaceDN w:val="0"/>
              <w:adjustRightInd w:val="0"/>
              <w:jc w:val="both"/>
              <w:rPr>
                <w:bCs/>
              </w:rPr>
            </w:pPr>
          </w:p>
          <w:p w14:paraId="19B24939" w14:textId="09BC53EF" w:rsidR="00671D34" w:rsidRPr="000F36D4" w:rsidRDefault="00727165" w:rsidP="00E16098">
            <w:pPr>
              <w:autoSpaceDE w:val="0"/>
              <w:autoSpaceDN w:val="0"/>
              <w:adjustRightInd w:val="0"/>
              <w:jc w:val="both"/>
              <w:rPr>
                <w:b/>
                <w:bCs/>
              </w:rPr>
            </w:pPr>
            <w:r w:rsidRPr="00727165" w:rsidDel="00727165">
              <w:rPr>
                <w:bCs/>
              </w:rPr>
              <w:t xml:space="preserve"> </w:t>
            </w:r>
            <w:r w:rsidR="00671D34" w:rsidRPr="000F36D4">
              <w:rPr>
                <w:b/>
                <w:bCs/>
              </w:rPr>
              <w:t>Kopsavilkums:</w:t>
            </w:r>
          </w:p>
          <w:tbl>
            <w:tblPr>
              <w:tblStyle w:val="TableGrid"/>
              <w:tblW w:w="0" w:type="auto"/>
              <w:tblLook w:val="04A0" w:firstRow="1" w:lastRow="0" w:firstColumn="1" w:lastColumn="0" w:noHBand="0" w:noVBand="1"/>
            </w:tblPr>
            <w:tblGrid>
              <w:gridCol w:w="3032"/>
              <w:gridCol w:w="2956"/>
            </w:tblGrid>
            <w:tr w:rsidR="00671D34" w:rsidRPr="000F36D4" w14:paraId="1B6887A2" w14:textId="77777777" w:rsidTr="00671D34">
              <w:tc>
                <w:tcPr>
                  <w:tcW w:w="3364" w:type="dxa"/>
                </w:tcPr>
                <w:p w14:paraId="298A3FF9" w14:textId="2E25F3AA" w:rsidR="00671D34" w:rsidRPr="000F36D4" w:rsidRDefault="00671D34" w:rsidP="00727165">
                  <w:pPr>
                    <w:autoSpaceDE w:val="0"/>
                    <w:autoSpaceDN w:val="0"/>
                    <w:adjustRightInd w:val="0"/>
                    <w:jc w:val="both"/>
                    <w:rPr>
                      <w:bCs/>
                    </w:rPr>
                  </w:pPr>
                  <w:r w:rsidRPr="000F36D4">
                    <w:rPr>
                      <w:bCs/>
                    </w:rPr>
                    <w:t xml:space="preserve">Rādītājs </w:t>
                  </w:r>
                  <w:r w:rsidRPr="00585162">
                    <w:rPr>
                      <w:bCs/>
                      <w:i/>
                    </w:rPr>
                    <w:t>(izmaksu veids)</w:t>
                  </w:r>
                </w:p>
              </w:tc>
              <w:tc>
                <w:tcPr>
                  <w:tcW w:w="3365" w:type="dxa"/>
                </w:tcPr>
                <w:p w14:paraId="5605EB3E" w14:textId="38EA0373" w:rsidR="00671D34" w:rsidRPr="000F36D4" w:rsidRDefault="00671D34" w:rsidP="00727165">
                  <w:pPr>
                    <w:autoSpaceDE w:val="0"/>
                    <w:autoSpaceDN w:val="0"/>
                    <w:adjustRightInd w:val="0"/>
                    <w:jc w:val="both"/>
                    <w:rPr>
                      <w:bCs/>
                    </w:rPr>
                  </w:pPr>
                  <w:r w:rsidRPr="000F36D4">
                    <w:rPr>
                      <w:bCs/>
                    </w:rPr>
                    <w:t xml:space="preserve">Izmaksu apjoms gadā </w:t>
                  </w:r>
                  <w:r w:rsidRPr="00585162">
                    <w:rPr>
                      <w:bCs/>
                      <w:i/>
                    </w:rPr>
                    <w:t>(E</w:t>
                  </w:r>
                  <w:r w:rsidR="0061120F" w:rsidRPr="00585162">
                    <w:rPr>
                      <w:bCs/>
                      <w:i/>
                    </w:rPr>
                    <w:t>ur</w:t>
                  </w:r>
                  <w:r w:rsidR="003A0A85" w:rsidRPr="00585162">
                    <w:rPr>
                      <w:bCs/>
                      <w:i/>
                    </w:rPr>
                    <w:t>o</w:t>
                  </w:r>
                  <w:r w:rsidRPr="00585162">
                    <w:rPr>
                      <w:bCs/>
                      <w:i/>
                    </w:rPr>
                    <w:t>)</w:t>
                  </w:r>
                </w:p>
                <w:p w14:paraId="37C4FE9C" w14:textId="20361665" w:rsidR="00671D34" w:rsidRPr="000F36D4" w:rsidRDefault="00671D34" w:rsidP="00727165">
                  <w:pPr>
                    <w:autoSpaceDE w:val="0"/>
                    <w:autoSpaceDN w:val="0"/>
                    <w:adjustRightInd w:val="0"/>
                    <w:jc w:val="both"/>
                    <w:rPr>
                      <w:bCs/>
                    </w:rPr>
                  </w:pPr>
                </w:p>
              </w:tc>
            </w:tr>
            <w:tr w:rsidR="00671D34" w:rsidRPr="00137C05" w14:paraId="4CE8D96C" w14:textId="77777777" w:rsidTr="00671D34">
              <w:tc>
                <w:tcPr>
                  <w:tcW w:w="3364" w:type="dxa"/>
                </w:tcPr>
                <w:p w14:paraId="142806FB" w14:textId="54B00FBD" w:rsidR="00671D34" w:rsidRPr="00137C05" w:rsidRDefault="00671D34" w:rsidP="00727165">
                  <w:pPr>
                    <w:autoSpaceDE w:val="0"/>
                    <w:autoSpaceDN w:val="0"/>
                    <w:adjustRightInd w:val="0"/>
                    <w:jc w:val="both"/>
                    <w:rPr>
                      <w:bCs/>
                    </w:rPr>
                  </w:pPr>
                  <w:r w:rsidRPr="00137C05">
                    <w:rPr>
                      <w:bCs/>
                    </w:rPr>
                    <w:t>Tiešās izmaksas</w:t>
                  </w:r>
                </w:p>
              </w:tc>
              <w:tc>
                <w:tcPr>
                  <w:tcW w:w="3365" w:type="dxa"/>
                </w:tcPr>
                <w:p w14:paraId="5EA07657" w14:textId="5B204E6D" w:rsidR="00671D34" w:rsidRPr="00137C05" w:rsidRDefault="001728B8" w:rsidP="000F36D4">
                  <w:pPr>
                    <w:autoSpaceDE w:val="0"/>
                    <w:autoSpaceDN w:val="0"/>
                    <w:adjustRightInd w:val="0"/>
                    <w:jc w:val="center"/>
                    <w:rPr>
                      <w:bCs/>
                    </w:rPr>
                  </w:pPr>
                  <w:r w:rsidRPr="00137C05">
                    <w:rPr>
                      <w:bCs/>
                    </w:rPr>
                    <w:t>2</w:t>
                  </w:r>
                  <w:r>
                    <w:rPr>
                      <w:bCs/>
                    </w:rPr>
                    <w:t>8495</w:t>
                  </w:r>
                </w:p>
              </w:tc>
            </w:tr>
            <w:tr w:rsidR="00671D34" w:rsidRPr="00137C05" w14:paraId="163453B7" w14:textId="77777777" w:rsidTr="00671D34">
              <w:tc>
                <w:tcPr>
                  <w:tcW w:w="3364" w:type="dxa"/>
                </w:tcPr>
                <w:p w14:paraId="1BE9DAB4" w14:textId="102C28E9" w:rsidR="00671D34" w:rsidRPr="00137C05" w:rsidRDefault="00671D34" w:rsidP="00727165">
                  <w:pPr>
                    <w:autoSpaceDE w:val="0"/>
                    <w:autoSpaceDN w:val="0"/>
                    <w:adjustRightInd w:val="0"/>
                    <w:jc w:val="both"/>
                    <w:rPr>
                      <w:bCs/>
                    </w:rPr>
                  </w:pPr>
                  <w:r w:rsidRPr="00137C05">
                    <w:rPr>
                      <w:bCs/>
                    </w:rPr>
                    <w:t>Netiešās izmaksas</w:t>
                  </w:r>
                </w:p>
              </w:tc>
              <w:tc>
                <w:tcPr>
                  <w:tcW w:w="3365" w:type="dxa"/>
                </w:tcPr>
                <w:p w14:paraId="7577F664" w14:textId="6E7AD5FD" w:rsidR="00671D34" w:rsidRPr="00137C05" w:rsidRDefault="00671D34" w:rsidP="000F36D4">
                  <w:pPr>
                    <w:autoSpaceDE w:val="0"/>
                    <w:autoSpaceDN w:val="0"/>
                    <w:adjustRightInd w:val="0"/>
                    <w:jc w:val="center"/>
                    <w:rPr>
                      <w:bCs/>
                    </w:rPr>
                  </w:pPr>
                  <w:r w:rsidRPr="00137C05">
                    <w:rPr>
                      <w:bCs/>
                    </w:rPr>
                    <w:t>14</w:t>
                  </w:r>
                  <w:r w:rsidR="00551095">
                    <w:rPr>
                      <w:bCs/>
                    </w:rPr>
                    <w:t>180</w:t>
                  </w:r>
                </w:p>
              </w:tc>
            </w:tr>
            <w:tr w:rsidR="00671D34" w:rsidRPr="00137C05" w14:paraId="7DE4BDF3" w14:textId="77777777" w:rsidTr="00671D34">
              <w:tc>
                <w:tcPr>
                  <w:tcW w:w="3364" w:type="dxa"/>
                </w:tcPr>
                <w:p w14:paraId="707C50D8" w14:textId="5C42D6E6" w:rsidR="00671D34" w:rsidRPr="00137C05" w:rsidRDefault="00671D34" w:rsidP="00727165">
                  <w:pPr>
                    <w:autoSpaceDE w:val="0"/>
                    <w:autoSpaceDN w:val="0"/>
                    <w:adjustRightInd w:val="0"/>
                    <w:jc w:val="both"/>
                    <w:rPr>
                      <w:bCs/>
                    </w:rPr>
                  </w:pPr>
                  <w:r w:rsidRPr="00137C05">
                    <w:rPr>
                      <w:bCs/>
                    </w:rPr>
                    <w:t>Pakalpojuma izmaksas kopā:</w:t>
                  </w:r>
                </w:p>
              </w:tc>
              <w:tc>
                <w:tcPr>
                  <w:tcW w:w="3365" w:type="dxa"/>
                </w:tcPr>
                <w:p w14:paraId="6C36659A" w14:textId="644B4CD6" w:rsidR="00671D34" w:rsidRPr="00137C05" w:rsidRDefault="001728B8" w:rsidP="000F36D4">
                  <w:pPr>
                    <w:autoSpaceDE w:val="0"/>
                    <w:autoSpaceDN w:val="0"/>
                    <w:adjustRightInd w:val="0"/>
                    <w:jc w:val="center"/>
                    <w:rPr>
                      <w:bCs/>
                    </w:rPr>
                  </w:pPr>
                  <w:r w:rsidRPr="00137C05">
                    <w:rPr>
                      <w:bCs/>
                    </w:rPr>
                    <w:t>4</w:t>
                  </w:r>
                  <w:r>
                    <w:rPr>
                      <w:bCs/>
                    </w:rPr>
                    <w:t>2675</w:t>
                  </w:r>
                </w:p>
              </w:tc>
            </w:tr>
          </w:tbl>
          <w:p w14:paraId="6866CA06" w14:textId="0DDB4F0A" w:rsidR="00671D34" w:rsidRPr="00137C05" w:rsidRDefault="00671D34" w:rsidP="00E16098">
            <w:pPr>
              <w:autoSpaceDE w:val="0"/>
              <w:autoSpaceDN w:val="0"/>
              <w:adjustRightInd w:val="0"/>
              <w:jc w:val="both"/>
              <w:rPr>
                <w:bCs/>
              </w:rPr>
            </w:pPr>
          </w:p>
          <w:tbl>
            <w:tblPr>
              <w:tblStyle w:val="TableGrid"/>
              <w:tblW w:w="0" w:type="auto"/>
              <w:tblLook w:val="04A0" w:firstRow="1" w:lastRow="0" w:firstColumn="1" w:lastColumn="0" w:noHBand="0" w:noVBand="1"/>
            </w:tblPr>
            <w:tblGrid>
              <w:gridCol w:w="3044"/>
              <w:gridCol w:w="2944"/>
            </w:tblGrid>
            <w:tr w:rsidR="00671D34" w:rsidRPr="00137C05" w14:paraId="20CD71AC" w14:textId="77777777" w:rsidTr="00671D34">
              <w:tc>
                <w:tcPr>
                  <w:tcW w:w="3364" w:type="dxa"/>
                </w:tcPr>
                <w:p w14:paraId="2BBA8771" w14:textId="2862DBF0" w:rsidR="00671D34" w:rsidRPr="00137C05" w:rsidRDefault="00671D34" w:rsidP="00727165">
                  <w:pPr>
                    <w:autoSpaceDE w:val="0"/>
                    <w:autoSpaceDN w:val="0"/>
                    <w:adjustRightInd w:val="0"/>
                    <w:jc w:val="both"/>
                    <w:rPr>
                      <w:bCs/>
                    </w:rPr>
                  </w:pPr>
                  <w:r w:rsidRPr="00137C05">
                    <w:rPr>
                      <w:bCs/>
                    </w:rPr>
                    <w:t>Maksas pakalpojumu vienību skaits gadā</w:t>
                  </w:r>
                </w:p>
              </w:tc>
              <w:tc>
                <w:tcPr>
                  <w:tcW w:w="3365" w:type="dxa"/>
                </w:tcPr>
                <w:p w14:paraId="2DEAB924" w14:textId="5BE30EDB" w:rsidR="00671D34" w:rsidRPr="00137C05" w:rsidRDefault="00137C05" w:rsidP="000F36D4">
                  <w:pPr>
                    <w:autoSpaceDE w:val="0"/>
                    <w:autoSpaceDN w:val="0"/>
                    <w:adjustRightInd w:val="0"/>
                    <w:jc w:val="center"/>
                    <w:rPr>
                      <w:bCs/>
                    </w:rPr>
                  </w:pPr>
                  <w:r w:rsidRPr="00137C05">
                    <w:rPr>
                      <w:bCs/>
                    </w:rPr>
                    <w:t>197</w:t>
                  </w:r>
                </w:p>
              </w:tc>
            </w:tr>
            <w:tr w:rsidR="00671D34" w:rsidRPr="000F36D4" w14:paraId="287FB11C" w14:textId="77777777" w:rsidTr="00671D34">
              <w:tc>
                <w:tcPr>
                  <w:tcW w:w="3364" w:type="dxa"/>
                </w:tcPr>
                <w:p w14:paraId="048E93ED" w14:textId="0493317E" w:rsidR="00671D34" w:rsidRPr="00137C05" w:rsidRDefault="00671D34" w:rsidP="00727165">
                  <w:pPr>
                    <w:autoSpaceDE w:val="0"/>
                    <w:autoSpaceDN w:val="0"/>
                    <w:adjustRightInd w:val="0"/>
                    <w:jc w:val="both"/>
                    <w:rPr>
                      <w:bCs/>
                    </w:rPr>
                  </w:pPr>
                  <w:r w:rsidRPr="00137C05">
                    <w:rPr>
                      <w:bCs/>
                    </w:rPr>
                    <w:t xml:space="preserve">Maksas pakalpojums </w:t>
                  </w:r>
                  <w:r w:rsidRPr="00585162">
                    <w:rPr>
                      <w:bCs/>
                      <w:i/>
                    </w:rPr>
                    <w:t>(</w:t>
                  </w:r>
                  <w:r w:rsidR="0035214D" w:rsidRPr="00585162">
                    <w:rPr>
                      <w:bCs/>
                      <w:i/>
                    </w:rPr>
                    <w:t>Eur</w:t>
                  </w:r>
                  <w:r w:rsidR="003A0A85" w:rsidRPr="00585162">
                    <w:rPr>
                      <w:bCs/>
                      <w:i/>
                    </w:rPr>
                    <w:t>o</w:t>
                  </w:r>
                  <w:r w:rsidRPr="00585162">
                    <w:rPr>
                      <w:bCs/>
                      <w:i/>
                    </w:rPr>
                    <w:t>)</w:t>
                  </w:r>
                </w:p>
              </w:tc>
              <w:tc>
                <w:tcPr>
                  <w:tcW w:w="3365" w:type="dxa"/>
                </w:tcPr>
                <w:p w14:paraId="6CCDA6AA" w14:textId="333A521B" w:rsidR="00671D34" w:rsidRPr="000F36D4" w:rsidRDefault="00137C05" w:rsidP="000F36D4">
                  <w:pPr>
                    <w:autoSpaceDE w:val="0"/>
                    <w:autoSpaceDN w:val="0"/>
                    <w:adjustRightInd w:val="0"/>
                    <w:jc w:val="center"/>
                    <w:rPr>
                      <w:bCs/>
                    </w:rPr>
                  </w:pPr>
                  <w:r w:rsidRPr="00137C05">
                    <w:rPr>
                      <w:bCs/>
                    </w:rPr>
                    <w:t>2</w:t>
                  </w:r>
                  <w:r w:rsidR="001728B8">
                    <w:rPr>
                      <w:bCs/>
                    </w:rPr>
                    <w:t>16</w:t>
                  </w:r>
                  <w:r w:rsidR="00D354CC">
                    <w:rPr>
                      <w:bCs/>
                    </w:rPr>
                    <w:t>,</w:t>
                  </w:r>
                  <w:r w:rsidR="001728B8">
                    <w:rPr>
                      <w:bCs/>
                    </w:rPr>
                    <w:t>62</w:t>
                  </w:r>
                </w:p>
              </w:tc>
            </w:tr>
          </w:tbl>
          <w:p w14:paraId="5DC9D2BC" w14:textId="5AD7E160" w:rsidR="00107FF0" w:rsidRDefault="00107FF0" w:rsidP="00DC6DF0">
            <w:pPr>
              <w:autoSpaceDE w:val="0"/>
              <w:autoSpaceDN w:val="0"/>
              <w:adjustRightInd w:val="0"/>
              <w:jc w:val="both"/>
              <w:rPr>
                <w:bCs/>
              </w:rPr>
            </w:pPr>
          </w:p>
          <w:p w14:paraId="476E8AF2" w14:textId="76F54496" w:rsidR="001728B8" w:rsidRPr="006A6AE7" w:rsidRDefault="001A1094" w:rsidP="006A6AE7">
            <w:pPr>
              <w:autoSpaceDE w:val="0"/>
              <w:autoSpaceDN w:val="0"/>
              <w:adjustRightInd w:val="0"/>
              <w:ind w:firstLine="247"/>
              <w:jc w:val="both"/>
              <w:rPr>
                <w:bCs/>
              </w:rPr>
            </w:pPr>
            <w:r>
              <w:rPr>
                <w:bCs/>
              </w:rPr>
              <w:t>Maksas pakalpojuma aprēķinos ņemtas vērā kompetences pārbaudes iestāžu, kuras veic neatkarīgu ekspertu kompetences novērtēšanu un profesionālās darbības uzraudzību</w:t>
            </w:r>
            <w:r w:rsidR="00EE412D">
              <w:rPr>
                <w:bCs/>
              </w:rPr>
              <w:t>,</w:t>
            </w:r>
            <w:r>
              <w:rPr>
                <w:bCs/>
              </w:rPr>
              <w:t xml:space="preserve"> iesniegtie aprēķini (biedrības </w:t>
            </w:r>
            <w:r w:rsidR="00DC6DF0" w:rsidRPr="001C5838">
              <w:rPr>
                <w:bCs/>
              </w:rPr>
              <w:t xml:space="preserve">“Latvijas Siltuma, gāzes un ūdens tehnoloģijas inženieru savienība” </w:t>
            </w:r>
            <w:r w:rsidRPr="001C5838">
              <w:rPr>
                <w:bCs/>
              </w:rPr>
              <w:t>un SIA “Mācību un konsultāciju centrs ABC”). Kompetences pārbaudes iestādēm tiek noteikts viens maksas pakalpojuma cenrādis, ar mērķi nodrošināt</w:t>
            </w:r>
            <w:r w:rsidR="001C5838" w:rsidRPr="001C5838">
              <w:rPr>
                <w:bCs/>
              </w:rPr>
              <w:t xml:space="preserve"> Valsts pārvaldes iekārtas likum</w:t>
            </w:r>
            <w:r w:rsidR="00415DC9">
              <w:rPr>
                <w:bCs/>
              </w:rPr>
              <w:t>a</w:t>
            </w:r>
            <w:r w:rsidRPr="001C5838">
              <w:rPr>
                <w:bCs/>
              </w:rPr>
              <w:t xml:space="preserve"> 47.</w:t>
            </w:r>
            <w:r w:rsidRPr="005F1243">
              <w:rPr>
                <w:bCs/>
                <w:vertAlign w:val="superscript"/>
              </w:rPr>
              <w:t>1</w:t>
            </w:r>
            <w:r w:rsidRPr="001C5838">
              <w:rPr>
                <w:bCs/>
              </w:rPr>
              <w:t xml:space="preserve">panta pirmajā daļā minēto deleģētā uzdevuma izpildes nepārtrauktību. Tas ir, gadījumā ja kāda no kompetences pārbaudes iestādēm pārstāj pildīt deleģēto uzdevumu, vai arī deleģēto valsts pārvaldes uzdevumu piesakās pildīt jauna kompetences pārbaudes iestāde, tai minēto uzdevumu izpildei būtu paredzēti finanšu līdzekļi un netiktu kavēta neatkarīgu ekspertu </w:t>
            </w:r>
            <w:r w:rsidR="00D850E4">
              <w:rPr>
                <w:bCs/>
              </w:rPr>
              <w:t>uzraudzība</w:t>
            </w:r>
            <w:r w:rsidRPr="001C5838">
              <w:rPr>
                <w:bCs/>
              </w:rPr>
              <w:t xml:space="preserve"> un </w:t>
            </w:r>
            <w:r w:rsidR="00D850E4">
              <w:rPr>
                <w:bCs/>
              </w:rPr>
              <w:t xml:space="preserve">jaunu ekspertu </w:t>
            </w:r>
            <w:r w:rsidRPr="001C5838">
              <w:rPr>
                <w:bCs/>
              </w:rPr>
              <w:t>sertificēšana.</w:t>
            </w:r>
            <w:r w:rsidR="001728B8">
              <w:rPr>
                <w:bCs/>
              </w:rPr>
              <w:t xml:space="preserve"> Attiecīgi</w:t>
            </w:r>
            <w:r w:rsidR="006A6AE7">
              <w:rPr>
                <w:bCs/>
              </w:rPr>
              <w:t xml:space="preserve"> iestādes, kuras varēs </w:t>
            </w:r>
            <w:r w:rsidR="006A6AE7">
              <w:rPr>
                <w:bCs/>
              </w:rPr>
              <w:lastRenderedPageBreak/>
              <w:t xml:space="preserve">piemērot maksas pakalpojumu cenrādi, būs iestādes, kuras </w:t>
            </w:r>
            <w:r w:rsidR="001728B8">
              <w:rPr>
                <w:bCs/>
              </w:rPr>
              <w:t xml:space="preserve"> atbilstoši Ēku energoefektivitātes likuma 12.panta piektajai daļai un noteikumu Nr.531 18.punktam</w:t>
            </w:r>
            <w:r w:rsidR="006A6AE7">
              <w:rPr>
                <w:bCs/>
              </w:rPr>
              <w:t xml:space="preserve"> būs </w:t>
            </w:r>
            <w:r w:rsidR="006A6AE7" w:rsidRPr="006A6AE7">
              <w:rPr>
                <w:bCs/>
              </w:rPr>
              <w:t xml:space="preserve">noslēgušas </w:t>
            </w:r>
            <w:r w:rsidR="001728B8" w:rsidRPr="006A6AE7">
              <w:rPr>
                <w:bCs/>
              </w:rPr>
              <w:t>deleģēšanas līgum</w:t>
            </w:r>
            <w:r w:rsidR="006A6AE7" w:rsidRPr="006A6AE7">
              <w:rPr>
                <w:bCs/>
              </w:rPr>
              <w:t>u ar Ekonomikas ministriju</w:t>
            </w:r>
            <w:r w:rsidR="006A6AE7">
              <w:rPr>
                <w:bCs/>
              </w:rPr>
              <w:t xml:space="preserve"> un saskaņojušas kompetences pārbaudes kārtību un tēmas jautājumus, un kurām </w:t>
            </w:r>
            <w:r w:rsidR="00415DC9">
              <w:rPr>
                <w:bCs/>
              </w:rPr>
              <w:t xml:space="preserve">būs </w:t>
            </w:r>
            <w:r w:rsidR="001728B8" w:rsidRPr="006A6AE7">
              <w:rPr>
                <w:bCs/>
              </w:rPr>
              <w:t>spēkā esoša akreditācija nacionālajā akreditācijas institūcijā kā personu sertificēšanas institūcijai saskaņā ar normatīvajiem aktiem par atbilstības novērtēšanu vai akreditācija citas Eiropas Savienības dalībvalsts akreditācijas institūcijā.</w:t>
            </w:r>
          </w:p>
          <w:p w14:paraId="2F66013D" w14:textId="77777777" w:rsidR="005B706E" w:rsidRDefault="005B706E" w:rsidP="0035214D">
            <w:pPr>
              <w:autoSpaceDE w:val="0"/>
              <w:autoSpaceDN w:val="0"/>
              <w:adjustRightInd w:val="0"/>
              <w:ind w:firstLine="247"/>
              <w:jc w:val="both"/>
              <w:rPr>
                <w:bCs/>
              </w:rPr>
            </w:pPr>
          </w:p>
          <w:p w14:paraId="774A4917" w14:textId="77777777" w:rsidR="005B706E" w:rsidRPr="00B74E1D" w:rsidRDefault="005B706E" w:rsidP="005B706E">
            <w:pPr>
              <w:shd w:val="clear" w:color="auto" w:fill="FFFFFF"/>
              <w:ind w:firstLine="399"/>
              <w:contextualSpacing/>
              <w:jc w:val="both"/>
              <w:rPr>
                <w:bCs/>
              </w:rPr>
            </w:pPr>
            <w:r>
              <w:rPr>
                <w:bCs/>
              </w:rPr>
              <w:t xml:space="preserve">Saskaņā ar Pievienotās vērtības nodokļa likuma 3.panta astoto daļu privātpersonas, kuras saskaņā ar Valsts pārvaldes iekārtas likumu pilda tām deleģētus valsts pārvaldes uzdevumus, neuzskata par nodokļu maksātājiem attiecībā uz tām darbībām vai darījumiem, kuros tās iesaistās valsts pārvaldes funkciju vai uzdevumu pildīšanā. Līdz ar to </w:t>
            </w:r>
            <w:r w:rsidRPr="00956D95">
              <w:rPr>
                <w:bCs/>
              </w:rPr>
              <w:t>kompetences pārbaudes iestāžu</w:t>
            </w:r>
            <w:r>
              <w:rPr>
                <w:bCs/>
              </w:rPr>
              <w:t xml:space="preserve"> sniegtajiem sertificēšanas maksas pakalpojumiem nepiemēro pievienotās vērtības nodokli.</w:t>
            </w:r>
          </w:p>
          <w:p w14:paraId="3AAEE3CB" w14:textId="47AF6943" w:rsidR="005B706E" w:rsidRPr="00F7335B" w:rsidRDefault="005B706E" w:rsidP="0035214D">
            <w:pPr>
              <w:autoSpaceDE w:val="0"/>
              <w:autoSpaceDN w:val="0"/>
              <w:adjustRightInd w:val="0"/>
              <w:ind w:firstLine="247"/>
              <w:jc w:val="both"/>
              <w:rPr>
                <w:bCs/>
              </w:rPr>
            </w:pPr>
          </w:p>
        </w:tc>
      </w:tr>
      <w:tr w:rsidR="0061120F" w:rsidRPr="00B403F5" w14:paraId="3C32C9BB" w14:textId="77777777" w:rsidTr="0061120F">
        <w:tc>
          <w:tcPr>
            <w:tcW w:w="258" w:type="pct"/>
            <w:hideMark/>
          </w:tcPr>
          <w:p w14:paraId="7068C18C" w14:textId="6AAE1711" w:rsidR="00BD5588" w:rsidRPr="00B403F5" w:rsidRDefault="00E957FE" w:rsidP="00793205">
            <w:pPr>
              <w:widowControl w:val="0"/>
              <w:jc w:val="center"/>
            </w:pPr>
            <w:r>
              <w:lastRenderedPageBreak/>
              <w:t>3.</w:t>
            </w:r>
          </w:p>
        </w:tc>
        <w:tc>
          <w:tcPr>
            <w:tcW w:w="1441" w:type="pct"/>
            <w:hideMark/>
          </w:tcPr>
          <w:p w14:paraId="7DD5FFA2" w14:textId="77777777" w:rsidR="00BD5588" w:rsidRPr="00B403F5" w:rsidRDefault="00BD5588" w:rsidP="00793205">
            <w:pPr>
              <w:widowControl w:val="0"/>
            </w:pPr>
            <w:r w:rsidRPr="00B403F5">
              <w:t>Projekta izstrādē iesaistītās institūcijas un publiskas personas kapitālsabiedrības</w:t>
            </w:r>
          </w:p>
        </w:tc>
        <w:tc>
          <w:tcPr>
            <w:tcW w:w="3301" w:type="pct"/>
            <w:hideMark/>
          </w:tcPr>
          <w:p w14:paraId="58CFEFE3" w14:textId="59DC4336" w:rsidR="009C750C" w:rsidRPr="00B403F5" w:rsidRDefault="008E1347" w:rsidP="008E1347">
            <w:pPr>
              <w:widowControl w:val="0"/>
            </w:pPr>
            <w:r w:rsidRPr="00B403F5">
              <w:t>Ekonomikas ministrija</w:t>
            </w:r>
            <w:r w:rsidR="001F20EA">
              <w:t>.</w:t>
            </w:r>
          </w:p>
        </w:tc>
      </w:tr>
      <w:tr w:rsidR="0061120F" w:rsidRPr="00B403F5" w14:paraId="3C9FB3AC" w14:textId="77777777" w:rsidTr="0061120F">
        <w:tc>
          <w:tcPr>
            <w:tcW w:w="258" w:type="pct"/>
            <w:hideMark/>
          </w:tcPr>
          <w:p w14:paraId="0371E4DA" w14:textId="77777777" w:rsidR="00BD5588" w:rsidRPr="00B403F5" w:rsidRDefault="00BD5588" w:rsidP="00793205">
            <w:pPr>
              <w:widowControl w:val="0"/>
              <w:jc w:val="center"/>
            </w:pPr>
            <w:r w:rsidRPr="00B403F5">
              <w:t>4.</w:t>
            </w:r>
          </w:p>
        </w:tc>
        <w:tc>
          <w:tcPr>
            <w:tcW w:w="1441" w:type="pct"/>
            <w:hideMark/>
          </w:tcPr>
          <w:p w14:paraId="43653179" w14:textId="77777777" w:rsidR="00BD5588" w:rsidRPr="00B403F5" w:rsidRDefault="00BD5588" w:rsidP="00793205">
            <w:pPr>
              <w:widowControl w:val="0"/>
            </w:pPr>
            <w:r w:rsidRPr="00B403F5">
              <w:t>Cita informācija</w:t>
            </w:r>
          </w:p>
        </w:tc>
        <w:tc>
          <w:tcPr>
            <w:tcW w:w="3301" w:type="pct"/>
            <w:hideMark/>
          </w:tcPr>
          <w:p w14:paraId="1C27C43A" w14:textId="720B4A1A" w:rsidR="00BD5588" w:rsidRPr="00B403F5" w:rsidRDefault="008E1347" w:rsidP="008E1347">
            <w:pPr>
              <w:jc w:val="both"/>
            </w:pPr>
            <w:r w:rsidRPr="00B403F5">
              <w:t>Nav</w:t>
            </w:r>
            <w:r w:rsidR="001F20EA">
              <w:t>.</w:t>
            </w:r>
          </w:p>
        </w:tc>
      </w:tr>
    </w:tbl>
    <w:p w14:paraId="77DBBC16" w14:textId="77777777" w:rsidR="0035214D" w:rsidRPr="00B403F5" w:rsidRDefault="0035214D" w:rsidP="004E4DD9">
      <w:pPr>
        <w:pStyle w:val="Title"/>
        <w:spacing w:before="130" w:line="260" w:lineRule="exact"/>
        <w:jc w:val="both"/>
        <w:rPr>
          <w:sz w:val="24"/>
          <w:szCs w:val="24"/>
          <w:highlight w:val="yellow"/>
        </w:rPr>
      </w:pP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5849"/>
      </w:tblGrid>
      <w:tr w:rsidR="00B403F5" w:rsidRPr="00B403F5" w14:paraId="29C5FFBD" w14:textId="77777777" w:rsidTr="00551095">
        <w:tc>
          <w:tcPr>
            <w:tcW w:w="8819" w:type="dxa"/>
            <w:gridSpan w:val="3"/>
            <w:vAlign w:val="center"/>
            <w:hideMark/>
          </w:tcPr>
          <w:p w14:paraId="3EC86B37" w14:textId="0C8125AE" w:rsidR="00BD5588" w:rsidRPr="00B403F5" w:rsidRDefault="00BD5588" w:rsidP="00E273A1">
            <w:pPr>
              <w:jc w:val="center"/>
              <w:rPr>
                <w:b/>
                <w:bCs/>
              </w:rPr>
            </w:pPr>
            <w:r w:rsidRPr="00B403F5">
              <w:rPr>
                <w:b/>
                <w:bCs/>
              </w:rPr>
              <w:t>II. Tiesību akta projekta ietekme uz sabiedrību, tautsaimniecības attīstību un</w:t>
            </w:r>
            <w:r w:rsidR="00513CBB">
              <w:rPr>
                <w:b/>
                <w:bCs/>
              </w:rPr>
              <w:t xml:space="preserve"> </w:t>
            </w:r>
            <w:r w:rsidRPr="00B403F5">
              <w:rPr>
                <w:b/>
                <w:bCs/>
              </w:rPr>
              <w:t>administratīvo slogu</w:t>
            </w:r>
          </w:p>
        </w:tc>
      </w:tr>
      <w:tr w:rsidR="00B403F5" w:rsidRPr="00B403F5" w14:paraId="62721522" w14:textId="77777777" w:rsidTr="00551095">
        <w:tc>
          <w:tcPr>
            <w:tcW w:w="516" w:type="dxa"/>
            <w:hideMark/>
          </w:tcPr>
          <w:p w14:paraId="2BF0B893" w14:textId="77777777" w:rsidR="00BD5588" w:rsidRPr="00B403F5" w:rsidRDefault="00BD5588" w:rsidP="00E273A1">
            <w:pPr>
              <w:jc w:val="center"/>
            </w:pPr>
            <w:r w:rsidRPr="00B403F5">
              <w:t>1.</w:t>
            </w:r>
          </w:p>
        </w:tc>
        <w:tc>
          <w:tcPr>
            <w:tcW w:w="2454" w:type="dxa"/>
            <w:hideMark/>
          </w:tcPr>
          <w:p w14:paraId="4CE59ABF" w14:textId="77777777" w:rsidR="00BD5588" w:rsidRPr="00B403F5" w:rsidRDefault="00BD5588" w:rsidP="00E273A1">
            <w:r w:rsidRPr="00B403F5">
              <w:t>Sabiedrības mērķgrupas, kuras tiesiskais regulējums ietekmē vai varētu ietekmēt</w:t>
            </w:r>
          </w:p>
        </w:tc>
        <w:tc>
          <w:tcPr>
            <w:tcW w:w="5849" w:type="dxa"/>
            <w:hideMark/>
          </w:tcPr>
          <w:p w14:paraId="37FBC6BF" w14:textId="7860EA0F" w:rsidR="00C35909" w:rsidRDefault="008E1347" w:rsidP="0035214D">
            <w:pPr>
              <w:pStyle w:val="naiskr"/>
              <w:spacing w:before="0" w:after="0"/>
              <w:ind w:firstLine="292"/>
              <w:jc w:val="both"/>
            </w:pPr>
            <w:r w:rsidRPr="00B403F5">
              <w:t>Noteikumu projekts ir attiecināms uz šādām mērķa grupām:</w:t>
            </w:r>
          </w:p>
          <w:p w14:paraId="39004147" w14:textId="15343321" w:rsidR="00C35909" w:rsidRPr="00B403F5" w:rsidRDefault="00C35909" w:rsidP="00C35909">
            <w:pPr>
              <w:pStyle w:val="naiskr"/>
              <w:numPr>
                <w:ilvl w:val="0"/>
                <w:numId w:val="15"/>
              </w:numPr>
              <w:spacing w:before="0" w:after="0"/>
              <w:jc w:val="both"/>
            </w:pPr>
            <w:r>
              <w:t>kompetences pārbaudes iestādēm, kuras veic neatkarīgu ekspertu kompetences novērtēšanu un profesionālās darbības uzraudzību;</w:t>
            </w:r>
          </w:p>
          <w:p w14:paraId="69215023" w14:textId="74B59DB3" w:rsidR="008E1347" w:rsidRPr="00B403F5" w:rsidRDefault="008E1347" w:rsidP="008E1347">
            <w:pPr>
              <w:pStyle w:val="naiskr"/>
              <w:numPr>
                <w:ilvl w:val="0"/>
                <w:numId w:val="15"/>
              </w:numPr>
              <w:spacing w:before="0" w:after="0"/>
              <w:jc w:val="both"/>
            </w:pPr>
            <w:r w:rsidRPr="00B403F5">
              <w:t>personas, kuras vēlas iegūt neatkarīga eksperta ēku energoefektivitātes jomā sertifikātu;</w:t>
            </w:r>
          </w:p>
          <w:p w14:paraId="4DAA19BA" w14:textId="67E96BD9" w:rsidR="008E1347" w:rsidRPr="00B403F5" w:rsidRDefault="00D1161F" w:rsidP="008E1347">
            <w:pPr>
              <w:pStyle w:val="naiskr"/>
              <w:numPr>
                <w:ilvl w:val="0"/>
                <w:numId w:val="15"/>
              </w:numPr>
              <w:spacing w:before="0" w:after="0"/>
              <w:jc w:val="both"/>
            </w:pPr>
            <w:r>
              <w:t>n</w:t>
            </w:r>
            <w:r w:rsidR="008E1347" w:rsidRPr="00B403F5">
              <w:t>eatkarīgi eksperti</w:t>
            </w:r>
            <w:r w:rsidR="007F4739">
              <w:t xml:space="preserve"> ēku energoefektivitātes jom</w:t>
            </w:r>
            <w:r w:rsidR="00F564CC">
              <w:t>ā</w:t>
            </w:r>
            <w:r w:rsidR="007F4739">
              <w:t>.</w:t>
            </w:r>
          </w:p>
          <w:p w14:paraId="2728C749" w14:textId="58363883" w:rsidR="00BD5588" w:rsidRPr="00B403F5" w:rsidRDefault="008E1347" w:rsidP="0035214D">
            <w:pPr>
              <w:pStyle w:val="naiskr"/>
              <w:spacing w:before="0" w:after="0"/>
              <w:ind w:firstLine="292"/>
              <w:jc w:val="both"/>
            </w:pPr>
            <w:r w:rsidRPr="00551095">
              <w:t xml:space="preserve">Uz </w:t>
            </w:r>
            <w:r w:rsidR="00B52C84" w:rsidRPr="00551095">
              <w:t>2018.</w:t>
            </w:r>
            <w:r w:rsidR="0035214D">
              <w:t> </w:t>
            </w:r>
            <w:r w:rsidR="00B52C84" w:rsidRPr="00551095">
              <w:t xml:space="preserve">gada </w:t>
            </w:r>
            <w:r w:rsidR="00551095" w:rsidRPr="00551095">
              <w:t>13</w:t>
            </w:r>
            <w:r w:rsidR="008905C7" w:rsidRPr="00551095">
              <w:t>.</w:t>
            </w:r>
            <w:r w:rsidR="0035214D">
              <w:t> </w:t>
            </w:r>
            <w:r w:rsidR="00551095" w:rsidRPr="00551095">
              <w:t>decembri</w:t>
            </w:r>
            <w:r w:rsidRPr="00551095">
              <w:t xml:space="preserve"> sertificēto personu skaits ir </w:t>
            </w:r>
            <w:r w:rsidR="00C35909" w:rsidRPr="00551095">
              <w:t>93</w:t>
            </w:r>
            <w:r w:rsidRPr="00551095">
              <w:t xml:space="preserve"> personas.</w:t>
            </w:r>
          </w:p>
        </w:tc>
      </w:tr>
      <w:tr w:rsidR="00B403F5" w:rsidRPr="00B403F5" w14:paraId="4FFE8275" w14:textId="77777777" w:rsidTr="00551095">
        <w:tc>
          <w:tcPr>
            <w:tcW w:w="516" w:type="dxa"/>
            <w:hideMark/>
          </w:tcPr>
          <w:p w14:paraId="4DA19C7B" w14:textId="77777777" w:rsidR="008E1347" w:rsidRPr="00B403F5" w:rsidRDefault="008E1347" w:rsidP="008E1347">
            <w:pPr>
              <w:jc w:val="center"/>
            </w:pPr>
            <w:r w:rsidRPr="00B403F5">
              <w:t>2.</w:t>
            </w:r>
          </w:p>
        </w:tc>
        <w:tc>
          <w:tcPr>
            <w:tcW w:w="2454" w:type="dxa"/>
            <w:hideMark/>
          </w:tcPr>
          <w:p w14:paraId="4BFD0070" w14:textId="77777777" w:rsidR="008E1347" w:rsidRPr="00137C05" w:rsidRDefault="008E1347" w:rsidP="008E1347">
            <w:pPr>
              <w:jc w:val="both"/>
            </w:pPr>
            <w:r w:rsidRPr="00137C05">
              <w:t>Tiesiskā regulējuma ietekme uz tautsaimniecību un administratīvo slogu</w:t>
            </w:r>
          </w:p>
        </w:tc>
        <w:tc>
          <w:tcPr>
            <w:tcW w:w="5849" w:type="dxa"/>
            <w:hideMark/>
          </w:tcPr>
          <w:p w14:paraId="462199A6" w14:textId="16E97C1D" w:rsidR="008E1347" w:rsidRPr="00137C05" w:rsidRDefault="008E1347" w:rsidP="0035214D">
            <w:pPr>
              <w:ind w:firstLine="292"/>
              <w:jc w:val="both"/>
            </w:pPr>
            <w:r w:rsidRPr="00137C05">
              <w:t xml:space="preserve">Noteikumu projekta tiesiskā regulējuma finansiālā ietekme attieksies uz personām, kurām jau ir iegūts </w:t>
            </w:r>
            <w:r w:rsidR="003A472B" w:rsidRPr="00137C05">
              <w:t>sertifikāts, un uz personām, kuras</w:t>
            </w:r>
            <w:r w:rsidRPr="00137C05">
              <w:t xml:space="preserve"> vēlēsies iegūt neatkarīga eksperta ēku energoefektivitātes jomā sertifikātu.</w:t>
            </w:r>
          </w:p>
          <w:p w14:paraId="2DA947CB" w14:textId="4E7106DA" w:rsidR="008E1347" w:rsidRPr="00137C05" w:rsidRDefault="00FB1D57" w:rsidP="00D354CC">
            <w:pPr>
              <w:ind w:firstLine="292"/>
              <w:jc w:val="both"/>
            </w:pPr>
            <w:r w:rsidRPr="00137C05">
              <w:t>Ik gadu</w:t>
            </w:r>
            <w:r w:rsidR="008E1347" w:rsidRPr="00137C05">
              <w:t xml:space="preserve"> plānotais </w:t>
            </w:r>
            <w:r w:rsidR="001F20EA" w:rsidRPr="00137C05">
              <w:t>personu (jomu)</w:t>
            </w:r>
            <w:r w:rsidR="008E1347" w:rsidRPr="00137C05">
              <w:t xml:space="preserve"> skaits</w:t>
            </w:r>
            <w:r w:rsidRPr="00137C05">
              <w:t>, kam jāveic</w:t>
            </w:r>
            <w:r w:rsidR="00D354CC">
              <w:t xml:space="preserve"> </w:t>
            </w:r>
            <w:r w:rsidR="008E1347" w:rsidRPr="00137C05">
              <w:t xml:space="preserve">patstāvīgās prakses uzraudzība </w:t>
            </w:r>
            <w:r w:rsidR="007F4739" w:rsidRPr="00137C05">
              <w:t>–</w:t>
            </w:r>
            <w:r w:rsidR="008E1347" w:rsidRPr="00137C05">
              <w:t xml:space="preserve"> </w:t>
            </w:r>
            <w:r w:rsidR="00E16098" w:rsidRPr="00137C05">
              <w:t>197</w:t>
            </w:r>
            <w:r w:rsidR="007F4739" w:rsidRPr="00137C05">
              <w:t xml:space="preserve"> jomas</w:t>
            </w:r>
            <w:r w:rsidR="00D354CC">
              <w:t xml:space="preserve"> un </w:t>
            </w:r>
            <w:r w:rsidR="008E1347" w:rsidRPr="00137C05">
              <w:t xml:space="preserve">darbības </w:t>
            </w:r>
            <w:r w:rsidR="007F4739" w:rsidRPr="00137C05">
              <w:t>jomas</w:t>
            </w:r>
            <w:r w:rsidR="008E1347" w:rsidRPr="00137C05">
              <w:t xml:space="preserve"> papildināšana - </w:t>
            </w:r>
            <w:r w:rsidR="008905C7" w:rsidRPr="00137C05">
              <w:t>33</w:t>
            </w:r>
            <w:r w:rsidR="007F4739" w:rsidRPr="00137C05">
              <w:t xml:space="preserve"> jomas</w:t>
            </w:r>
            <w:r w:rsidR="008E1347" w:rsidRPr="00137C05">
              <w:t>;</w:t>
            </w:r>
          </w:p>
          <w:p w14:paraId="523406C5" w14:textId="5039D7AA" w:rsidR="008E1347" w:rsidRPr="00137C05" w:rsidRDefault="008E1347" w:rsidP="008E1347">
            <w:pPr>
              <w:jc w:val="both"/>
            </w:pPr>
          </w:p>
          <w:p w14:paraId="30F48D1B" w14:textId="3B709C6E" w:rsidR="008E1347" w:rsidRPr="00137C05" w:rsidRDefault="00A57029" w:rsidP="008E1347">
            <w:pPr>
              <w:jc w:val="both"/>
              <w:rPr>
                <w:lang w:eastAsia="ru-RU"/>
              </w:rPr>
            </w:pPr>
            <w:r w:rsidRPr="00137C05">
              <w:t xml:space="preserve">Publiskā </w:t>
            </w:r>
            <w:r w:rsidR="008E1347" w:rsidRPr="00137C05">
              <w:rPr>
                <w:lang w:eastAsia="ru-RU"/>
              </w:rPr>
              <w:t>pakalpojuma aprēķins:</w:t>
            </w:r>
          </w:p>
          <w:p w14:paraId="0AB468B7" w14:textId="3FB0E6B6" w:rsidR="008905C7" w:rsidRPr="00137C05" w:rsidRDefault="008905C7" w:rsidP="008905C7">
            <w:pPr>
              <w:pStyle w:val="ListParagraph"/>
              <w:numPr>
                <w:ilvl w:val="0"/>
                <w:numId w:val="17"/>
              </w:numPr>
              <w:jc w:val="both"/>
            </w:pPr>
            <w:r w:rsidRPr="00137C05">
              <w:lastRenderedPageBreak/>
              <w:t>“Maksa par kompetences novērtēšanu” par vienu darbības jomu, vienai personai – 214,9</w:t>
            </w:r>
            <w:r w:rsidR="00551095">
              <w:t>6</w:t>
            </w:r>
            <w:r w:rsidRPr="00137C05">
              <w:t xml:space="preserve"> </w:t>
            </w:r>
            <w:r w:rsidRPr="00D354CC">
              <w:rPr>
                <w:i/>
              </w:rPr>
              <w:t>euro</w:t>
            </w:r>
            <w:r w:rsidRPr="00137C05">
              <w:t>;</w:t>
            </w:r>
          </w:p>
          <w:p w14:paraId="30D620F9" w14:textId="4EDD23A8" w:rsidR="008E1347" w:rsidRPr="00137C05" w:rsidRDefault="008905C7" w:rsidP="00137C05">
            <w:pPr>
              <w:pStyle w:val="ListParagraph"/>
              <w:numPr>
                <w:ilvl w:val="0"/>
                <w:numId w:val="17"/>
              </w:numPr>
              <w:jc w:val="both"/>
            </w:pPr>
            <w:r w:rsidRPr="00137C05">
              <w:t xml:space="preserve">“Profesionālās darbības uzraudzības gada maksa” par vienu darbības jomu, vienai personai – </w:t>
            </w:r>
            <w:r w:rsidR="00137C05" w:rsidRPr="00137C05">
              <w:t>2</w:t>
            </w:r>
            <w:r w:rsidR="001728B8">
              <w:t>16</w:t>
            </w:r>
            <w:r w:rsidR="00137C05" w:rsidRPr="00137C05">
              <w:t>,</w:t>
            </w:r>
            <w:r w:rsidR="001728B8">
              <w:t>62</w:t>
            </w:r>
            <w:r w:rsidR="00137C05" w:rsidRPr="00137C05">
              <w:t xml:space="preserve"> </w:t>
            </w:r>
            <w:proofErr w:type="spellStart"/>
            <w:r w:rsidR="00137C05" w:rsidRPr="00D354CC">
              <w:rPr>
                <w:i/>
              </w:rPr>
              <w:t>euro</w:t>
            </w:r>
            <w:proofErr w:type="spellEnd"/>
            <w:r w:rsidR="00137C05" w:rsidRPr="00137C05">
              <w:t>;</w:t>
            </w:r>
          </w:p>
          <w:p w14:paraId="1A94D325" w14:textId="77777777" w:rsidR="00A57029" w:rsidRPr="00137C05" w:rsidRDefault="00A57029" w:rsidP="00FB1D57">
            <w:pPr>
              <w:jc w:val="both"/>
            </w:pPr>
          </w:p>
          <w:p w14:paraId="4BAD3CB3" w14:textId="51CA984B" w:rsidR="008E1347" w:rsidRPr="00137C05" w:rsidRDefault="008E1347" w:rsidP="00FB1D57">
            <w:pPr>
              <w:jc w:val="both"/>
            </w:pPr>
            <w:r w:rsidRPr="00137C05">
              <w:t>Maksas pakalpojumu izcenojumu aprēķiniem</w:t>
            </w:r>
            <w:r w:rsidR="00A57029" w:rsidRPr="00137C05">
              <w:t xml:space="preserve"> tika izmantota </w:t>
            </w:r>
            <w:r w:rsidRPr="00137C05">
              <w:t>Ministru kabineta 2011.</w:t>
            </w:r>
            <w:r w:rsidR="00263BB9" w:rsidRPr="00137C05">
              <w:t> </w:t>
            </w:r>
            <w:r w:rsidRPr="00137C05">
              <w:t>gada 3.</w:t>
            </w:r>
            <w:r w:rsidR="00263BB9" w:rsidRPr="00137C05">
              <w:t> </w:t>
            </w:r>
            <w:r w:rsidRPr="00137C05">
              <w:t>maija noteikumu Nr.</w:t>
            </w:r>
            <w:r w:rsidR="00263BB9" w:rsidRPr="00137C05">
              <w:t> </w:t>
            </w:r>
            <w:r w:rsidRPr="00137C05">
              <w:t xml:space="preserve">333 „Kārtība, kādā plānojami un uzskaitāmi ieņēmumi no maksas pakalpojumiem un ar šo pakalpojumu sniegšanu saistītie izdevumi, kā arī maksas pakalpojumu izcenojumu noteikšanas </w:t>
            </w:r>
            <w:r w:rsidR="00776878" w:rsidRPr="00137C05">
              <w:t>metodika</w:t>
            </w:r>
            <w:r w:rsidRPr="00137C05">
              <w:t xml:space="preserve"> un izcenojumu apstiprināšanas kārtība” noteikt</w:t>
            </w:r>
            <w:r w:rsidR="00A57029" w:rsidRPr="00137C05">
              <w:t>ā</w:t>
            </w:r>
            <w:r w:rsidRPr="00137C05">
              <w:t xml:space="preserve"> metodik</w:t>
            </w:r>
            <w:r w:rsidR="00A57029" w:rsidRPr="00137C05">
              <w:t>a.</w:t>
            </w:r>
          </w:p>
        </w:tc>
      </w:tr>
      <w:tr w:rsidR="00B403F5" w:rsidRPr="00B403F5" w14:paraId="7CE4DD0A" w14:textId="77777777" w:rsidTr="00551095">
        <w:tc>
          <w:tcPr>
            <w:tcW w:w="516" w:type="dxa"/>
            <w:hideMark/>
          </w:tcPr>
          <w:p w14:paraId="71DF9DC4" w14:textId="77777777" w:rsidR="008E1347" w:rsidRPr="00B403F5" w:rsidRDefault="008E1347" w:rsidP="008E1347">
            <w:pPr>
              <w:jc w:val="center"/>
            </w:pPr>
            <w:r w:rsidRPr="00B403F5">
              <w:lastRenderedPageBreak/>
              <w:t>3.</w:t>
            </w:r>
          </w:p>
        </w:tc>
        <w:tc>
          <w:tcPr>
            <w:tcW w:w="2454" w:type="dxa"/>
            <w:hideMark/>
          </w:tcPr>
          <w:p w14:paraId="2AB44B2F" w14:textId="77777777" w:rsidR="008E1347" w:rsidRPr="00B403F5" w:rsidRDefault="008E1347" w:rsidP="008E1347">
            <w:r w:rsidRPr="00B403F5">
              <w:t>Administratīvo izmaksu monetārs novērtējums</w:t>
            </w:r>
          </w:p>
        </w:tc>
        <w:tc>
          <w:tcPr>
            <w:tcW w:w="5849" w:type="dxa"/>
            <w:hideMark/>
          </w:tcPr>
          <w:p w14:paraId="61B521F7" w14:textId="29E4005E" w:rsidR="008E1347" w:rsidRPr="00B403F5" w:rsidRDefault="007E4EEC" w:rsidP="004F3441">
            <w:r w:rsidRPr="007E4EEC">
              <w:t>Projekts nerada ietekmi uz valsts vai pašvaldības budžetu</w:t>
            </w:r>
          </w:p>
        </w:tc>
      </w:tr>
      <w:tr w:rsidR="00B403F5" w:rsidRPr="00B403F5" w14:paraId="3F608AE8" w14:textId="77777777" w:rsidTr="00551095">
        <w:tc>
          <w:tcPr>
            <w:tcW w:w="516" w:type="dxa"/>
            <w:hideMark/>
          </w:tcPr>
          <w:p w14:paraId="7300C071" w14:textId="77777777" w:rsidR="008E1347" w:rsidRPr="00B403F5" w:rsidRDefault="008E1347" w:rsidP="008E1347">
            <w:pPr>
              <w:jc w:val="center"/>
            </w:pPr>
            <w:r w:rsidRPr="00B403F5">
              <w:t>4.</w:t>
            </w:r>
          </w:p>
        </w:tc>
        <w:tc>
          <w:tcPr>
            <w:tcW w:w="2454" w:type="dxa"/>
            <w:hideMark/>
          </w:tcPr>
          <w:p w14:paraId="7EE399F8" w14:textId="77777777" w:rsidR="008E1347" w:rsidRPr="00B403F5" w:rsidRDefault="008E1347" w:rsidP="008E1347">
            <w:r w:rsidRPr="00B403F5">
              <w:t>Atbilstības izmaksu monetārs novērtējums</w:t>
            </w:r>
          </w:p>
        </w:tc>
        <w:tc>
          <w:tcPr>
            <w:tcW w:w="5849" w:type="dxa"/>
            <w:hideMark/>
          </w:tcPr>
          <w:p w14:paraId="7C96C716" w14:textId="3AF95458" w:rsidR="008E1347" w:rsidRPr="00B403F5" w:rsidRDefault="008E1347" w:rsidP="004F3441">
            <w:r w:rsidRPr="00FF6656">
              <w:t>Projekts šo jomu neskar</w:t>
            </w:r>
          </w:p>
        </w:tc>
      </w:tr>
      <w:tr w:rsidR="00B403F5" w:rsidRPr="00B403F5" w14:paraId="2E8CF3F3" w14:textId="77777777" w:rsidTr="00551095">
        <w:tc>
          <w:tcPr>
            <w:tcW w:w="516" w:type="dxa"/>
            <w:hideMark/>
          </w:tcPr>
          <w:p w14:paraId="75BDC01E" w14:textId="77777777" w:rsidR="008E1347" w:rsidRPr="00B403F5" w:rsidRDefault="008E1347" w:rsidP="008E1347">
            <w:pPr>
              <w:jc w:val="center"/>
              <w:rPr>
                <w:highlight w:val="yellow"/>
              </w:rPr>
            </w:pPr>
            <w:r w:rsidRPr="00B403F5">
              <w:t>5.</w:t>
            </w:r>
          </w:p>
        </w:tc>
        <w:tc>
          <w:tcPr>
            <w:tcW w:w="2454" w:type="dxa"/>
            <w:hideMark/>
          </w:tcPr>
          <w:p w14:paraId="0B8036F0" w14:textId="77777777" w:rsidR="008E1347" w:rsidRPr="00B403F5" w:rsidRDefault="008E1347" w:rsidP="008E1347">
            <w:r w:rsidRPr="00B403F5">
              <w:t>Cita informācija</w:t>
            </w:r>
          </w:p>
        </w:tc>
        <w:tc>
          <w:tcPr>
            <w:tcW w:w="5849" w:type="dxa"/>
            <w:hideMark/>
          </w:tcPr>
          <w:p w14:paraId="50C8485D" w14:textId="28B94E45" w:rsidR="008E1347" w:rsidRPr="00B403F5" w:rsidRDefault="008E1347" w:rsidP="004F3441">
            <w:r w:rsidRPr="00B403F5">
              <w:t>Nav</w:t>
            </w:r>
          </w:p>
        </w:tc>
      </w:tr>
    </w:tbl>
    <w:p w14:paraId="45665158" w14:textId="77777777" w:rsidR="00E957FE" w:rsidRPr="00B403F5" w:rsidRDefault="00E957FE" w:rsidP="00E273A1">
      <w:pPr>
        <w:rPr>
          <w:highlight w:val="yellow"/>
        </w:rPr>
      </w:pPr>
    </w:p>
    <w:tbl>
      <w:tblPr>
        <w:tblStyle w:val="TableGridLight"/>
        <w:tblW w:w="5157" w:type="pct"/>
        <w:tblInd w:w="108" w:type="dxa"/>
        <w:shd w:val="clear" w:color="auto" w:fill="FFFFFF" w:themeFill="background1"/>
        <w:tblLook w:val="04A0" w:firstRow="1" w:lastRow="0" w:firstColumn="1" w:lastColumn="0" w:noHBand="0" w:noVBand="1"/>
      </w:tblPr>
      <w:tblGrid>
        <w:gridCol w:w="8556"/>
      </w:tblGrid>
      <w:tr w:rsidR="00B403F5" w:rsidRPr="00B403F5" w14:paraId="54C7630B" w14:textId="77777777" w:rsidTr="00551095">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B403F5" w:rsidRDefault="00F54498" w:rsidP="00113C64">
            <w:pPr>
              <w:ind w:right="-34"/>
              <w:jc w:val="center"/>
              <w:rPr>
                <w:b/>
              </w:rPr>
            </w:pPr>
            <w:r w:rsidRPr="00B403F5">
              <w:rPr>
                <w:b/>
              </w:rPr>
              <w:t>III. Tiesību akta projekta ietekme uz valsts budžetu un pašvaldību budžetiem</w:t>
            </w:r>
          </w:p>
        </w:tc>
      </w:tr>
      <w:tr w:rsidR="008E1347" w:rsidRPr="00B403F5" w14:paraId="63138FE1" w14:textId="77777777" w:rsidTr="00551095">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7B698DF" w14:textId="43C067CC" w:rsidR="008E1347" w:rsidRPr="00B403F5" w:rsidRDefault="008E1347" w:rsidP="00113C64">
            <w:pPr>
              <w:ind w:right="-34"/>
              <w:jc w:val="center"/>
              <w:rPr>
                <w:b/>
              </w:rPr>
            </w:pPr>
            <w:r w:rsidRPr="00FF6656">
              <w:t>Projekts šo jomu neskar</w:t>
            </w:r>
          </w:p>
        </w:tc>
      </w:tr>
    </w:tbl>
    <w:p w14:paraId="21060955" w14:textId="373017D4" w:rsidR="004E4DD9" w:rsidRPr="00B403F5" w:rsidRDefault="004E4DD9" w:rsidP="00113C64">
      <w:pPr>
        <w:pStyle w:val="Title"/>
        <w:spacing w:before="130" w:line="260" w:lineRule="exact"/>
        <w:jc w:val="both"/>
        <w:rPr>
          <w:sz w:val="24"/>
          <w:szCs w:val="24"/>
          <w:highlight w:val="yellow"/>
        </w:rPr>
      </w:pPr>
    </w:p>
    <w:tbl>
      <w:tblPr>
        <w:tblW w:w="527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747"/>
      </w:tblGrid>
      <w:tr w:rsidR="00B403F5" w:rsidRPr="00B403F5" w14:paraId="746D8DC7" w14:textId="77777777" w:rsidTr="00551095">
        <w:trPr>
          <w:cantSplit/>
        </w:trPr>
        <w:tc>
          <w:tcPr>
            <w:tcW w:w="8821" w:type="dxa"/>
            <w:vAlign w:val="center"/>
            <w:hideMark/>
          </w:tcPr>
          <w:p w14:paraId="30F65026" w14:textId="77777777" w:rsidR="009878D6" w:rsidRPr="00B403F5" w:rsidRDefault="009878D6" w:rsidP="00293120">
            <w:pPr>
              <w:jc w:val="center"/>
              <w:rPr>
                <w:b/>
                <w:bCs/>
              </w:rPr>
            </w:pPr>
            <w:r w:rsidRPr="00B403F5">
              <w:rPr>
                <w:b/>
                <w:bCs/>
              </w:rPr>
              <w:t>IV. Tiesību akta projekta ietekme uz spēkā esošo tiesību normu sistēmu</w:t>
            </w:r>
          </w:p>
        </w:tc>
      </w:tr>
      <w:tr w:rsidR="00E957FE" w:rsidRPr="00B403F5" w14:paraId="236D8CE6" w14:textId="77777777" w:rsidTr="00551095">
        <w:trPr>
          <w:cantSplit/>
        </w:trPr>
        <w:tc>
          <w:tcPr>
            <w:tcW w:w="8821" w:type="dxa"/>
          </w:tcPr>
          <w:p w14:paraId="4FEBC83C" w14:textId="4D54A811" w:rsidR="00E957FE" w:rsidRPr="00B403F5" w:rsidRDefault="00E957FE" w:rsidP="00E957FE">
            <w:pPr>
              <w:jc w:val="center"/>
              <w:rPr>
                <w:b/>
                <w:bCs/>
              </w:rPr>
            </w:pPr>
            <w:r w:rsidRPr="00FF6656">
              <w:t>Projekts šo jomu neskar</w:t>
            </w:r>
          </w:p>
        </w:tc>
      </w:tr>
    </w:tbl>
    <w:p w14:paraId="1EA28F69" w14:textId="77777777" w:rsidR="00252808" w:rsidRPr="00B403F5" w:rsidRDefault="00252808" w:rsidP="00B96E3C">
      <w:pPr>
        <w:pStyle w:val="Title"/>
        <w:spacing w:before="130" w:line="260" w:lineRule="exact"/>
        <w:jc w:val="both"/>
        <w:rPr>
          <w:sz w:val="24"/>
          <w:szCs w:val="24"/>
          <w:highlight w:val="yellow"/>
        </w:rPr>
      </w:pPr>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746"/>
      </w:tblGrid>
      <w:tr w:rsidR="00B403F5" w:rsidRPr="00B403F5" w14:paraId="64433338" w14:textId="77777777" w:rsidTr="00551095">
        <w:trPr>
          <w:cantSplit/>
        </w:trPr>
        <w:tc>
          <w:tcPr>
            <w:tcW w:w="5000" w:type="pct"/>
            <w:vAlign w:val="center"/>
            <w:hideMark/>
          </w:tcPr>
          <w:p w14:paraId="73642743" w14:textId="77777777" w:rsidR="009878D6" w:rsidRPr="00B403F5" w:rsidRDefault="009878D6" w:rsidP="00293120">
            <w:pPr>
              <w:jc w:val="center"/>
              <w:rPr>
                <w:b/>
                <w:bCs/>
              </w:rPr>
            </w:pPr>
            <w:r w:rsidRPr="00B403F5">
              <w:rPr>
                <w:b/>
                <w:bCs/>
              </w:rPr>
              <w:t>V. Tiesību akta projekta atbilstība Latvijas Republikas starptautiskajām saistībām</w:t>
            </w:r>
          </w:p>
        </w:tc>
      </w:tr>
      <w:tr w:rsidR="00B403F5" w:rsidRPr="00B403F5" w14:paraId="12734BA5" w14:textId="77777777" w:rsidTr="00551095">
        <w:trPr>
          <w:cantSplit/>
        </w:trPr>
        <w:tc>
          <w:tcPr>
            <w:tcW w:w="5000" w:type="pct"/>
            <w:vAlign w:val="center"/>
          </w:tcPr>
          <w:p w14:paraId="41E8939A" w14:textId="17BDC2A3" w:rsidR="00B403F5" w:rsidRPr="00B403F5" w:rsidRDefault="00B403F5" w:rsidP="00293120">
            <w:pPr>
              <w:jc w:val="center"/>
              <w:rPr>
                <w:bCs/>
              </w:rPr>
            </w:pPr>
            <w:r w:rsidRPr="00FF6656">
              <w:rPr>
                <w:bCs/>
              </w:rPr>
              <w:t>Projekts šo jomu neskar</w:t>
            </w:r>
          </w:p>
        </w:tc>
      </w:tr>
    </w:tbl>
    <w:p w14:paraId="09AE2C7A" w14:textId="1E456940" w:rsidR="004E4DD9" w:rsidRPr="00B403F5" w:rsidRDefault="004E4DD9" w:rsidP="00B403F5">
      <w:pPr>
        <w:pStyle w:val="Title"/>
        <w:spacing w:before="130" w:line="260" w:lineRule="exact"/>
        <w:jc w:val="both"/>
        <w:rPr>
          <w:sz w:val="24"/>
          <w:szCs w:val="24"/>
          <w:highlight w:val="yellow"/>
        </w:rPr>
      </w:pPr>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4"/>
        <w:gridCol w:w="2456"/>
        <w:gridCol w:w="5776"/>
      </w:tblGrid>
      <w:tr w:rsidR="00B403F5" w:rsidRPr="00B403F5" w14:paraId="56321BB1" w14:textId="77777777" w:rsidTr="00551095">
        <w:trPr>
          <w:cantSplit/>
        </w:trPr>
        <w:tc>
          <w:tcPr>
            <w:tcW w:w="5000" w:type="pct"/>
            <w:gridSpan w:val="3"/>
            <w:vAlign w:val="center"/>
            <w:hideMark/>
          </w:tcPr>
          <w:p w14:paraId="087045CA" w14:textId="77777777" w:rsidR="00BD5588" w:rsidRPr="00B403F5" w:rsidRDefault="00BD5588" w:rsidP="00E273A1">
            <w:pPr>
              <w:jc w:val="center"/>
              <w:rPr>
                <w:b/>
                <w:bCs/>
              </w:rPr>
            </w:pPr>
            <w:r w:rsidRPr="00B403F5">
              <w:rPr>
                <w:b/>
                <w:bCs/>
              </w:rPr>
              <w:t>VI. Sabiedrības līdzdalība un komunikācijas aktivitātes</w:t>
            </w:r>
          </w:p>
        </w:tc>
      </w:tr>
      <w:tr w:rsidR="00B403F5" w:rsidRPr="00B403F5" w14:paraId="4786D969" w14:textId="77777777" w:rsidTr="00551095">
        <w:tc>
          <w:tcPr>
            <w:tcW w:w="294" w:type="pct"/>
            <w:hideMark/>
          </w:tcPr>
          <w:p w14:paraId="5B5D2FD0" w14:textId="77777777" w:rsidR="00BD5588" w:rsidRPr="00B403F5" w:rsidRDefault="00BD5588" w:rsidP="00E273A1">
            <w:pPr>
              <w:jc w:val="center"/>
            </w:pPr>
            <w:r w:rsidRPr="00B403F5">
              <w:t>1.</w:t>
            </w:r>
          </w:p>
        </w:tc>
        <w:tc>
          <w:tcPr>
            <w:tcW w:w="1404" w:type="pct"/>
            <w:hideMark/>
          </w:tcPr>
          <w:p w14:paraId="21002897" w14:textId="77777777" w:rsidR="00BD5588" w:rsidRPr="00B403F5" w:rsidRDefault="00BD5588" w:rsidP="00E273A1">
            <w:r w:rsidRPr="00B403F5">
              <w:t>Plānotās sabiedrības līdzdalības un komunikācijas aktivitātes saistībā ar projektu</w:t>
            </w:r>
          </w:p>
        </w:tc>
        <w:tc>
          <w:tcPr>
            <w:tcW w:w="3302" w:type="pct"/>
            <w:hideMark/>
          </w:tcPr>
          <w:p w14:paraId="142E1922" w14:textId="2D7ACBF8" w:rsidR="004E4DD9" w:rsidRPr="00B403F5" w:rsidRDefault="00E40A31" w:rsidP="00252808">
            <w:pPr>
              <w:jc w:val="both"/>
            </w:pPr>
            <w:r>
              <w:t>Maksas pakalpojumu cenrāži tiks publicēti Ekonomikas ministrijas, Būvniecības informācijas sistēmas un kompetences pārbaužu iestāžu, kas veiks neatkarīga eksperta kompetences novērtēšanu un profesionālās darbības uzraudzību, mājas lapās.</w:t>
            </w:r>
          </w:p>
        </w:tc>
      </w:tr>
      <w:tr w:rsidR="00B403F5" w:rsidRPr="00B403F5" w14:paraId="4E93E920" w14:textId="77777777" w:rsidTr="00551095">
        <w:trPr>
          <w:cantSplit/>
        </w:trPr>
        <w:tc>
          <w:tcPr>
            <w:tcW w:w="294" w:type="pct"/>
            <w:hideMark/>
          </w:tcPr>
          <w:p w14:paraId="1B4F637E" w14:textId="77777777" w:rsidR="00BD5588" w:rsidRPr="00B403F5" w:rsidRDefault="00BD5588" w:rsidP="00E273A1">
            <w:pPr>
              <w:jc w:val="center"/>
            </w:pPr>
            <w:r w:rsidRPr="00B403F5">
              <w:t>2.</w:t>
            </w:r>
          </w:p>
        </w:tc>
        <w:tc>
          <w:tcPr>
            <w:tcW w:w="1404" w:type="pct"/>
            <w:hideMark/>
          </w:tcPr>
          <w:p w14:paraId="4FA8A427" w14:textId="77777777" w:rsidR="00BD5588" w:rsidRPr="00B403F5" w:rsidRDefault="00BD5588" w:rsidP="00E273A1">
            <w:r w:rsidRPr="00B403F5">
              <w:t>Sabiedrības līdzdalība projekta izstrādē</w:t>
            </w:r>
          </w:p>
        </w:tc>
        <w:tc>
          <w:tcPr>
            <w:tcW w:w="3302" w:type="pct"/>
            <w:hideMark/>
          </w:tcPr>
          <w:p w14:paraId="21582BC5" w14:textId="7F9C9939" w:rsidR="004E4DD9" w:rsidRPr="00B403F5" w:rsidRDefault="00B403F5" w:rsidP="00B403F5">
            <w:pPr>
              <w:pStyle w:val="naisnod"/>
              <w:spacing w:before="0" w:after="0"/>
              <w:ind w:right="57"/>
              <w:jc w:val="both"/>
              <w:rPr>
                <w:b w:val="0"/>
              </w:rPr>
            </w:pPr>
            <w:r w:rsidRPr="00B403F5">
              <w:rPr>
                <w:b w:val="0"/>
                <w:bCs w:val="0"/>
              </w:rPr>
              <w:t>Noteikumu projekta izstrādes gaitā ir notikušas konsultācijas</w:t>
            </w:r>
            <w:r w:rsidR="005B706E">
              <w:rPr>
                <w:b w:val="0"/>
                <w:bCs w:val="0"/>
              </w:rPr>
              <w:t>, sanāksmes un saņemti aprēķini no</w:t>
            </w:r>
            <w:r w:rsidRPr="00B403F5">
              <w:rPr>
                <w:b w:val="0"/>
                <w:bCs w:val="0"/>
              </w:rPr>
              <w:t xml:space="preserve"> </w:t>
            </w:r>
            <w:r w:rsidR="00A57029">
              <w:rPr>
                <w:b w:val="0"/>
                <w:bCs w:val="0"/>
              </w:rPr>
              <w:t>kompetences pārbaudes iestādēm, kuras veic neatkarīga eksperta kompetences novērtēšanu un profesionālās darbības uzraudzību</w:t>
            </w:r>
            <w:r w:rsidR="005B706E">
              <w:rPr>
                <w:b w:val="0"/>
                <w:bCs w:val="0"/>
              </w:rPr>
              <w:t xml:space="preserve"> – biedrību “Latvijas Siltuma, gāzes un ūdens tehnoloģijas inženieru savienība” un SIA “Mācību un konsultāciju centrs ABC.”</w:t>
            </w:r>
          </w:p>
        </w:tc>
      </w:tr>
      <w:tr w:rsidR="00B403F5" w:rsidRPr="00B403F5" w14:paraId="3913ECCF" w14:textId="77777777" w:rsidTr="00551095">
        <w:trPr>
          <w:cantSplit/>
        </w:trPr>
        <w:tc>
          <w:tcPr>
            <w:tcW w:w="294" w:type="pct"/>
            <w:hideMark/>
          </w:tcPr>
          <w:p w14:paraId="1B63522F" w14:textId="77777777" w:rsidR="00BD5588" w:rsidRPr="00B403F5" w:rsidRDefault="00BD5588" w:rsidP="00E273A1">
            <w:pPr>
              <w:jc w:val="center"/>
            </w:pPr>
            <w:r w:rsidRPr="00B403F5">
              <w:t>3.</w:t>
            </w:r>
          </w:p>
        </w:tc>
        <w:tc>
          <w:tcPr>
            <w:tcW w:w="1404" w:type="pct"/>
            <w:hideMark/>
          </w:tcPr>
          <w:p w14:paraId="4C549B95" w14:textId="77777777" w:rsidR="00BD5588" w:rsidRPr="00B403F5" w:rsidRDefault="00BD5588" w:rsidP="00E273A1">
            <w:r w:rsidRPr="00B403F5">
              <w:t>Sabiedrības līdzdalības rezultāti</w:t>
            </w:r>
          </w:p>
        </w:tc>
        <w:tc>
          <w:tcPr>
            <w:tcW w:w="3302" w:type="pct"/>
            <w:hideMark/>
          </w:tcPr>
          <w:p w14:paraId="64E17A0B" w14:textId="35AF1379" w:rsidR="00BD5588" w:rsidRPr="00B403F5" w:rsidRDefault="005B706E" w:rsidP="004F3441">
            <w:r>
              <w:rPr>
                <w:bCs/>
              </w:rPr>
              <w:t>Ņemti vērā b</w:t>
            </w:r>
            <w:r w:rsidR="00F564CC">
              <w:rPr>
                <w:bCs/>
              </w:rPr>
              <w:t xml:space="preserve">iedrības </w:t>
            </w:r>
            <w:r w:rsidR="00F564CC" w:rsidRPr="001C5838">
              <w:rPr>
                <w:bCs/>
              </w:rPr>
              <w:t>“Latvijas Siltuma, gāzes un ūdens tehnoloģijas inženieru savienība” un SIA “Mācību un konsultāciju centrs ABC</w:t>
            </w:r>
            <w:r>
              <w:rPr>
                <w:bCs/>
              </w:rPr>
              <w:t>”</w:t>
            </w:r>
            <w:r w:rsidR="00F564CC">
              <w:rPr>
                <w:bCs/>
              </w:rPr>
              <w:t xml:space="preserve"> aprēķini.</w:t>
            </w:r>
            <w:r w:rsidR="00F564CC" w:rsidRPr="00B403F5" w:rsidDel="00F564CC">
              <w:t xml:space="preserve"> </w:t>
            </w:r>
          </w:p>
        </w:tc>
      </w:tr>
      <w:tr w:rsidR="00B403F5" w:rsidRPr="00B403F5" w14:paraId="3ADE953F" w14:textId="77777777" w:rsidTr="00551095">
        <w:trPr>
          <w:cantSplit/>
        </w:trPr>
        <w:tc>
          <w:tcPr>
            <w:tcW w:w="294" w:type="pct"/>
            <w:hideMark/>
          </w:tcPr>
          <w:p w14:paraId="4C70A1DB" w14:textId="77777777" w:rsidR="00BD5588" w:rsidRPr="00B403F5" w:rsidRDefault="00BD5588" w:rsidP="00E273A1">
            <w:pPr>
              <w:jc w:val="center"/>
            </w:pPr>
            <w:r w:rsidRPr="00B403F5">
              <w:t>4.</w:t>
            </w:r>
          </w:p>
        </w:tc>
        <w:tc>
          <w:tcPr>
            <w:tcW w:w="1404" w:type="pct"/>
            <w:hideMark/>
          </w:tcPr>
          <w:p w14:paraId="17FE348A" w14:textId="77777777" w:rsidR="00BD5588" w:rsidRPr="00B403F5" w:rsidRDefault="00BD5588" w:rsidP="00E273A1">
            <w:r w:rsidRPr="00B403F5">
              <w:t>Cita informācija</w:t>
            </w:r>
          </w:p>
        </w:tc>
        <w:tc>
          <w:tcPr>
            <w:tcW w:w="3302" w:type="pct"/>
            <w:hideMark/>
          </w:tcPr>
          <w:p w14:paraId="0E324DC7" w14:textId="4EEEADFE" w:rsidR="00BD5588" w:rsidRPr="00B403F5" w:rsidRDefault="00BD5588" w:rsidP="004F3441">
            <w:r w:rsidRPr="00B403F5">
              <w:t>Nav</w:t>
            </w:r>
          </w:p>
        </w:tc>
      </w:tr>
    </w:tbl>
    <w:p w14:paraId="42CD549B" w14:textId="74D930D4" w:rsidR="004E4DD9" w:rsidRPr="00B403F5" w:rsidRDefault="004E4DD9" w:rsidP="001E1EA0">
      <w:pPr>
        <w:pStyle w:val="Title"/>
        <w:spacing w:before="130" w:line="260" w:lineRule="exact"/>
        <w:jc w:val="both"/>
        <w:rPr>
          <w:sz w:val="24"/>
          <w:szCs w:val="24"/>
          <w:highlight w:val="yellow"/>
        </w:rPr>
      </w:pPr>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4"/>
        <w:gridCol w:w="3030"/>
        <w:gridCol w:w="5202"/>
      </w:tblGrid>
      <w:tr w:rsidR="00B403F5" w:rsidRPr="00B403F5" w14:paraId="2C97733B" w14:textId="77777777" w:rsidTr="00551095">
        <w:trPr>
          <w:cantSplit/>
          <w:trHeight w:val="377"/>
        </w:trPr>
        <w:tc>
          <w:tcPr>
            <w:tcW w:w="5000" w:type="pct"/>
            <w:gridSpan w:val="3"/>
            <w:vAlign w:val="center"/>
            <w:hideMark/>
          </w:tcPr>
          <w:p w14:paraId="655C9A47" w14:textId="3CA35525" w:rsidR="00BD5588" w:rsidRPr="00B403F5" w:rsidRDefault="00BD5588" w:rsidP="00B403F5">
            <w:pPr>
              <w:jc w:val="center"/>
              <w:rPr>
                <w:b/>
                <w:bCs/>
              </w:rPr>
            </w:pPr>
            <w:r w:rsidRPr="00B403F5">
              <w:rPr>
                <w:b/>
                <w:bCs/>
              </w:rPr>
              <w:lastRenderedPageBreak/>
              <w:t>VII. Tiesību akta projekta izpildes nodrošināšan</w:t>
            </w:r>
            <w:r w:rsidR="00B76031" w:rsidRPr="00B403F5">
              <w:rPr>
                <w:b/>
                <w:bCs/>
              </w:rPr>
              <w:t>a un tās ietekme uz institūcijām</w:t>
            </w:r>
          </w:p>
        </w:tc>
      </w:tr>
      <w:tr w:rsidR="00B403F5" w:rsidRPr="00B403F5" w14:paraId="294901AB" w14:textId="77777777" w:rsidTr="00252808">
        <w:trPr>
          <w:cantSplit/>
        </w:trPr>
        <w:tc>
          <w:tcPr>
            <w:tcW w:w="294" w:type="pct"/>
            <w:hideMark/>
          </w:tcPr>
          <w:p w14:paraId="492C6551" w14:textId="77777777" w:rsidR="00BD5588" w:rsidRPr="00B403F5" w:rsidRDefault="00BD5588" w:rsidP="00E273A1">
            <w:pPr>
              <w:jc w:val="center"/>
            </w:pPr>
            <w:r w:rsidRPr="00B403F5">
              <w:t>1.</w:t>
            </w:r>
          </w:p>
        </w:tc>
        <w:tc>
          <w:tcPr>
            <w:tcW w:w="1732" w:type="pct"/>
            <w:hideMark/>
          </w:tcPr>
          <w:p w14:paraId="4737A7D2" w14:textId="77777777" w:rsidR="00BD5588" w:rsidRPr="00B403F5" w:rsidRDefault="00BD5588" w:rsidP="00E273A1">
            <w:r w:rsidRPr="00B403F5">
              <w:t>Projekta izpildē iesaistītās institūcijas</w:t>
            </w:r>
          </w:p>
        </w:tc>
        <w:tc>
          <w:tcPr>
            <w:tcW w:w="2974" w:type="pct"/>
            <w:hideMark/>
          </w:tcPr>
          <w:p w14:paraId="3823A7C0" w14:textId="32633984" w:rsidR="00541BFA" w:rsidRDefault="000066EA" w:rsidP="00E40A31">
            <w:pPr>
              <w:jc w:val="both"/>
            </w:pPr>
            <w:r>
              <w:t>Noteikumu p</w:t>
            </w:r>
            <w:r w:rsidR="00541BFA">
              <w:t>rojektā paredzēto regulējumu realizēs ikviena kompetences pārbaudes iestāde, kas veiks neatkarīga eksperta kompetences novērtēšanu un profesionālās darbības uzraudzību.</w:t>
            </w:r>
          </w:p>
          <w:p w14:paraId="3D2E037F" w14:textId="6A86D02E" w:rsidR="00BD5588" w:rsidRPr="00A033E1" w:rsidRDefault="00BD5588" w:rsidP="00252808">
            <w:pPr>
              <w:jc w:val="both"/>
            </w:pPr>
          </w:p>
        </w:tc>
      </w:tr>
      <w:tr w:rsidR="00B403F5" w:rsidRPr="00B403F5" w14:paraId="3E389F79" w14:textId="77777777" w:rsidTr="00252808">
        <w:tc>
          <w:tcPr>
            <w:tcW w:w="294" w:type="pct"/>
            <w:hideMark/>
          </w:tcPr>
          <w:p w14:paraId="70D1D17D" w14:textId="77777777" w:rsidR="00BD5588" w:rsidRPr="00B403F5" w:rsidRDefault="00BD5588" w:rsidP="00E273A1">
            <w:pPr>
              <w:jc w:val="center"/>
            </w:pPr>
            <w:r w:rsidRPr="00B403F5">
              <w:t>2.</w:t>
            </w:r>
          </w:p>
        </w:tc>
        <w:tc>
          <w:tcPr>
            <w:tcW w:w="1732" w:type="pct"/>
            <w:hideMark/>
          </w:tcPr>
          <w:p w14:paraId="3C5E967B" w14:textId="77777777" w:rsidR="00BD5588" w:rsidRPr="00B403F5" w:rsidRDefault="00BD5588" w:rsidP="00E273A1">
            <w:r w:rsidRPr="00B403F5">
              <w:t>Projekta izpildes ietekme uz pārvaldes funkcijām un institucionālo struktūru.</w:t>
            </w:r>
            <w:r w:rsidRPr="00B403F5">
              <w:br/>
              <w:t>Jaunu institūciju izveide, esošu institūciju likvidācija vai reorganizācija, to ietekme uz institūcijas cilvēkresursiem</w:t>
            </w:r>
          </w:p>
        </w:tc>
        <w:tc>
          <w:tcPr>
            <w:tcW w:w="2974" w:type="pct"/>
            <w:hideMark/>
          </w:tcPr>
          <w:p w14:paraId="13BFC015" w14:textId="2D5F780B" w:rsidR="00CE664B" w:rsidRPr="00FF6656" w:rsidRDefault="003D0E30" w:rsidP="004F3441">
            <w:r w:rsidRPr="00260BD9">
              <w:t>Valsts funkcijas un uzdevumi netiek paplašināti vai sašaurināti.</w:t>
            </w:r>
          </w:p>
        </w:tc>
      </w:tr>
      <w:tr w:rsidR="00B403F5" w:rsidRPr="00B403F5" w14:paraId="1E6AAD1C" w14:textId="77777777" w:rsidTr="00252808">
        <w:trPr>
          <w:cantSplit/>
        </w:trPr>
        <w:tc>
          <w:tcPr>
            <w:tcW w:w="294" w:type="pct"/>
            <w:hideMark/>
          </w:tcPr>
          <w:p w14:paraId="1D4AC77D" w14:textId="77777777" w:rsidR="00BD5588" w:rsidRPr="00B403F5" w:rsidRDefault="00BD5588" w:rsidP="00E273A1">
            <w:pPr>
              <w:jc w:val="center"/>
              <w:rPr>
                <w:highlight w:val="yellow"/>
              </w:rPr>
            </w:pPr>
            <w:r w:rsidRPr="00B403F5">
              <w:t>3.</w:t>
            </w:r>
          </w:p>
        </w:tc>
        <w:tc>
          <w:tcPr>
            <w:tcW w:w="1732" w:type="pct"/>
            <w:hideMark/>
          </w:tcPr>
          <w:p w14:paraId="58D3DAC7" w14:textId="77777777" w:rsidR="00BD5588" w:rsidRPr="00B403F5" w:rsidRDefault="00BD5588" w:rsidP="00E273A1">
            <w:r w:rsidRPr="00B403F5">
              <w:t>Cita informācija</w:t>
            </w:r>
          </w:p>
        </w:tc>
        <w:tc>
          <w:tcPr>
            <w:tcW w:w="2974" w:type="pct"/>
            <w:hideMark/>
          </w:tcPr>
          <w:p w14:paraId="527CF25D" w14:textId="3595DA91" w:rsidR="00BD5588" w:rsidRPr="00B403F5" w:rsidRDefault="00B35B31" w:rsidP="004F3441">
            <w:r>
              <w:t>Na</w:t>
            </w:r>
            <w:r w:rsidR="00F7335B">
              <w:t>v</w:t>
            </w:r>
          </w:p>
        </w:tc>
      </w:tr>
    </w:tbl>
    <w:p w14:paraId="277CABD7" w14:textId="77777777" w:rsidR="004E4DD9" w:rsidRPr="00B403F5" w:rsidRDefault="004E4DD9" w:rsidP="00D21A8A">
      <w:pPr>
        <w:tabs>
          <w:tab w:val="left" w:pos="6804"/>
        </w:tabs>
        <w:rPr>
          <w:lang w:eastAsia="ru-RU"/>
        </w:rPr>
      </w:pPr>
    </w:p>
    <w:p w14:paraId="38887C3C" w14:textId="1C028388" w:rsidR="00D21A8A" w:rsidRPr="00B403F5" w:rsidRDefault="00D21A8A" w:rsidP="00D21A8A">
      <w:pPr>
        <w:tabs>
          <w:tab w:val="left" w:pos="6804"/>
        </w:tabs>
        <w:rPr>
          <w:lang w:eastAsia="ru-RU"/>
        </w:rPr>
      </w:pPr>
      <w:r w:rsidRPr="00B403F5">
        <w:rPr>
          <w:lang w:eastAsia="ru-RU"/>
        </w:rPr>
        <w:t>Ministru prezidenta biedrs,</w:t>
      </w:r>
    </w:p>
    <w:p w14:paraId="6712E2F6" w14:textId="77777777" w:rsidR="00D21A8A" w:rsidRPr="00B403F5" w:rsidRDefault="00466C3A" w:rsidP="00466C3A">
      <w:pPr>
        <w:tabs>
          <w:tab w:val="left" w:pos="6946"/>
        </w:tabs>
        <w:rPr>
          <w:lang w:eastAsia="ru-RU"/>
        </w:rPr>
      </w:pPr>
      <w:r w:rsidRPr="00B403F5">
        <w:rPr>
          <w:lang w:eastAsia="ru-RU"/>
        </w:rPr>
        <w:t>Ekonomika ministrs</w:t>
      </w:r>
      <w:r w:rsidRPr="00B403F5">
        <w:rPr>
          <w:lang w:eastAsia="ru-RU"/>
        </w:rPr>
        <w:tab/>
      </w:r>
      <w:r w:rsidR="00D21A8A" w:rsidRPr="00B403F5">
        <w:rPr>
          <w:lang w:eastAsia="ru-RU"/>
        </w:rPr>
        <w:t>A. Ašeradens</w:t>
      </w:r>
    </w:p>
    <w:p w14:paraId="5ADBE5D6" w14:textId="6006315D" w:rsidR="00D21A8A" w:rsidRPr="00B403F5" w:rsidRDefault="00D21A8A" w:rsidP="00D21A8A">
      <w:pPr>
        <w:rPr>
          <w:lang w:eastAsia="ru-RU"/>
        </w:rPr>
      </w:pPr>
    </w:p>
    <w:p w14:paraId="410D33F6" w14:textId="77777777" w:rsidR="00D21A8A" w:rsidRPr="00B403F5" w:rsidRDefault="00D21A8A" w:rsidP="00D21A8A">
      <w:pPr>
        <w:rPr>
          <w:lang w:eastAsia="ru-RU"/>
        </w:rPr>
      </w:pPr>
      <w:r w:rsidRPr="00B403F5">
        <w:rPr>
          <w:lang w:eastAsia="ru-RU"/>
        </w:rPr>
        <w:t xml:space="preserve">Vīza: </w:t>
      </w:r>
    </w:p>
    <w:p w14:paraId="0F8DEC58" w14:textId="51ADADC2" w:rsidR="004E4DD9" w:rsidRPr="00B403F5" w:rsidRDefault="00D21A8A" w:rsidP="00E957FE">
      <w:pPr>
        <w:tabs>
          <w:tab w:val="left" w:pos="7371"/>
        </w:tabs>
        <w:rPr>
          <w:sz w:val="18"/>
          <w:szCs w:val="18"/>
          <w:lang w:eastAsia="ru-RU"/>
        </w:rPr>
      </w:pPr>
      <w:r w:rsidRPr="00B403F5">
        <w:rPr>
          <w:lang w:eastAsia="ru-RU"/>
        </w:rPr>
        <w:t>Valsts sekretār</w:t>
      </w:r>
      <w:r w:rsidR="00332A1D">
        <w:rPr>
          <w:lang w:eastAsia="ru-RU"/>
        </w:rPr>
        <w:t>s</w:t>
      </w:r>
      <w:r w:rsidR="00252808">
        <w:rPr>
          <w:lang w:eastAsia="ru-RU"/>
        </w:rPr>
        <w:tab/>
      </w:r>
      <w:r w:rsidR="00332A1D">
        <w:rPr>
          <w:lang w:eastAsia="ru-RU"/>
        </w:rPr>
        <w:t>Ē</w:t>
      </w:r>
      <w:r w:rsidRPr="00B403F5">
        <w:rPr>
          <w:lang w:eastAsia="ru-RU"/>
        </w:rPr>
        <w:t>. </w:t>
      </w:r>
      <w:r w:rsidR="00332A1D">
        <w:rPr>
          <w:lang w:eastAsia="ru-RU"/>
        </w:rPr>
        <w:t>Eglītis</w:t>
      </w:r>
    </w:p>
    <w:p w14:paraId="47CD4D7A" w14:textId="77777777" w:rsidR="00263BB9" w:rsidRDefault="00263BB9" w:rsidP="001E1EA0">
      <w:pPr>
        <w:tabs>
          <w:tab w:val="left" w:pos="0"/>
        </w:tabs>
        <w:jc w:val="both"/>
        <w:rPr>
          <w:sz w:val="18"/>
          <w:szCs w:val="18"/>
          <w:lang w:eastAsia="ru-RU"/>
        </w:rPr>
      </w:pPr>
    </w:p>
    <w:p w14:paraId="7B365184" w14:textId="77777777" w:rsidR="00263BB9" w:rsidRDefault="00263BB9" w:rsidP="001E1EA0">
      <w:pPr>
        <w:tabs>
          <w:tab w:val="left" w:pos="0"/>
        </w:tabs>
        <w:jc w:val="both"/>
        <w:rPr>
          <w:sz w:val="18"/>
          <w:szCs w:val="18"/>
          <w:lang w:eastAsia="ru-RU"/>
        </w:rPr>
      </w:pPr>
    </w:p>
    <w:p w14:paraId="1C0F5AD5" w14:textId="77777777" w:rsidR="00263BB9" w:rsidRDefault="00263BB9" w:rsidP="001E1EA0">
      <w:pPr>
        <w:tabs>
          <w:tab w:val="left" w:pos="0"/>
        </w:tabs>
        <w:jc w:val="both"/>
        <w:rPr>
          <w:sz w:val="18"/>
          <w:szCs w:val="18"/>
          <w:lang w:eastAsia="ru-RU"/>
        </w:rPr>
      </w:pPr>
    </w:p>
    <w:p w14:paraId="32DE9A64" w14:textId="7749F40E" w:rsidR="005B4660" w:rsidRPr="00B403F5" w:rsidRDefault="004A6A99" w:rsidP="001E1EA0">
      <w:pPr>
        <w:tabs>
          <w:tab w:val="left" w:pos="0"/>
        </w:tabs>
        <w:jc w:val="both"/>
        <w:rPr>
          <w:sz w:val="18"/>
          <w:szCs w:val="18"/>
          <w:lang w:eastAsia="ru-RU"/>
        </w:rPr>
      </w:pPr>
      <w:r>
        <w:rPr>
          <w:sz w:val="18"/>
          <w:szCs w:val="18"/>
          <w:lang w:eastAsia="ru-RU"/>
        </w:rPr>
        <w:t>Dilāne</w:t>
      </w:r>
      <w:r w:rsidR="00D21A8A" w:rsidRPr="00B403F5">
        <w:rPr>
          <w:sz w:val="18"/>
          <w:szCs w:val="18"/>
          <w:lang w:eastAsia="ru-RU"/>
        </w:rPr>
        <w:t>, 67013030</w:t>
      </w:r>
      <w:r w:rsidR="001E1EA0" w:rsidRPr="00B403F5">
        <w:rPr>
          <w:sz w:val="18"/>
          <w:szCs w:val="18"/>
          <w:lang w:eastAsia="ru-RU"/>
        </w:rPr>
        <w:t xml:space="preserve"> </w:t>
      </w:r>
    </w:p>
    <w:p w14:paraId="5E760060" w14:textId="18BAB30F" w:rsidR="00E44472" w:rsidRPr="00B403F5" w:rsidRDefault="00D21A8A" w:rsidP="001E1EA0">
      <w:pPr>
        <w:tabs>
          <w:tab w:val="left" w:pos="0"/>
        </w:tabs>
        <w:jc w:val="both"/>
        <w:rPr>
          <w:sz w:val="18"/>
          <w:szCs w:val="18"/>
          <w:lang w:eastAsia="ru-RU"/>
        </w:rPr>
      </w:pPr>
      <w:r w:rsidRPr="00B403F5">
        <w:rPr>
          <w:sz w:val="18"/>
          <w:szCs w:val="18"/>
          <w:lang w:eastAsia="ru-RU"/>
        </w:rPr>
        <w:t>Patricija.</w:t>
      </w:r>
      <w:r w:rsidR="004A6A99">
        <w:rPr>
          <w:sz w:val="18"/>
          <w:szCs w:val="18"/>
          <w:lang w:eastAsia="ru-RU"/>
        </w:rPr>
        <w:t>Dilane</w:t>
      </w:r>
      <w:r w:rsidRPr="00B403F5">
        <w:rPr>
          <w:sz w:val="18"/>
          <w:szCs w:val="18"/>
          <w:lang w:eastAsia="ru-RU"/>
        </w:rPr>
        <w:t>@em.gov.lv</w:t>
      </w:r>
    </w:p>
    <w:sectPr w:rsidR="00E44472" w:rsidRPr="00B403F5" w:rsidSect="0009085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0867B" w14:textId="77777777" w:rsidR="00E61791" w:rsidRDefault="00E61791" w:rsidP="00D21A8A">
      <w:r>
        <w:separator/>
      </w:r>
    </w:p>
  </w:endnote>
  <w:endnote w:type="continuationSeparator" w:id="0">
    <w:p w14:paraId="34D5040A" w14:textId="77777777" w:rsidR="00E61791" w:rsidRDefault="00E61791" w:rsidP="00D2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835817"/>
      <w:docPartObj>
        <w:docPartGallery w:val="Page Numbers (Bottom of Page)"/>
        <w:docPartUnique/>
      </w:docPartObj>
    </w:sdtPr>
    <w:sdtEndPr>
      <w:rPr>
        <w:sz w:val="20"/>
        <w:szCs w:val="20"/>
      </w:rPr>
    </w:sdtEndPr>
    <w:sdtContent>
      <w:p w14:paraId="479A4663" w14:textId="1C017D6C" w:rsidR="00BC5121" w:rsidRPr="00252808" w:rsidRDefault="00551095">
        <w:pPr>
          <w:pStyle w:val="Footer"/>
          <w:rPr>
            <w:sz w:val="20"/>
            <w:szCs w:val="20"/>
          </w:rPr>
        </w:pPr>
        <w:r w:rsidRPr="00252808">
          <w:rPr>
            <w:sz w:val="20"/>
            <w:szCs w:val="20"/>
          </w:rPr>
          <w:t>EMAnot_cenr</w:t>
        </w:r>
        <w:r w:rsidR="00252808" w:rsidRPr="00252808">
          <w:rPr>
            <w:sz w:val="20"/>
            <w:szCs w:val="20"/>
          </w:rPr>
          <w:t>_</w:t>
        </w:r>
        <w:r w:rsidR="00D212BE">
          <w:rPr>
            <w:sz w:val="20"/>
            <w:szCs w:val="20"/>
          </w:rPr>
          <w:t>0401</w:t>
        </w:r>
        <w:r w:rsidR="00252808" w:rsidRPr="00252808">
          <w:rPr>
            <w:sz w:val="20"/>
            <w:szCs w:val="20"/>
          </w:rPr>
          <w:t>1</w:t>
        </w:r>
        <w:r w:rsidR="00D212BE">
          <w:rPr>
            <w:sz w:val="20"/>
            <w:szCs w:val="20"/>
          </w:rPr>
          <w:t>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691C4" w14:textId="77777777" w:rsidR="00E61791" w:rsidRDefault="00E61791" w:rsidP="00D21A8A">
      <w:r>
        <w:separator/>
      </w:r>
    </w:p>
  </w:footnote>
  <w:footnote w:type="continuationSeparator" w:id="0">
    <w:p w14:paraId="0FB222B2" w14:textId="77777777" w:rsidR="00E61791" w:rsidRDefault="00E61791" w:rsidP="00D21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24C"/>
    <w:multiLevelType w:val="hybridMultilevel"/>
    <w:tmpl w:val="ECC4ADFA"/>
    <w:lvl w:ilvl="0" w:tplc="003EB23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6008A9"/>
    <w:multiLevelType w:val="hybridMultilevel"/>
    <w:tmpl w:val="1A8CE76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B52C5C"/>
    <w:multiLevelType w:val="hybridMultilevel"/>
    <w:tmpl w:val="11B244F0"/>
    <w:lvl w:ilvl="0" w:tplc="2CE6DB8C">
      <w:start w:val="20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882B2E"/>
    <w:multiLevelType w:val="hybridMultilevel"/>
    <w:tmpl w:val="CAFE16A0"/>
    <w:lvl w:ilvl="0" w:tplc="CD1AD22E">
      <w:start w:val="5"/>
      <w:numFmt w:val="decimal"/>
      <w:lvlText w:val="%1."/>
      <w:lvlJc w:val="left"/>
      <w:pPr>
        <w:ind w:left="1085" w:hanging="360"/>
      </w:pPr>
      <w:rPr>
        <w:rFonts w:hint="default"/>
      </w:rPr>
    </w:lvl>
    <w:lvl w:ilvl="1" w:tplc="04260019" w:tentative="1">
      <w:start w:val="1"/>
      <w:numFmt w:val="lowerLetter"/>
      <w:lvlText w:val="%2."/>
      <w:lvlJc w:val="left"/>
      <w:pPr>
        <w:ind w:left="1805" w:hanging="360"/>
      </w:pPr>
    </w:lvl>
    <w:lvl w:ilvl="2" w:tplc="0426001B" w:tentative="1">
      <w:start w:val="1"/>
      <w:numFmt w:val="lowerRoman"/>
      <w:lvlText w:val="%3."/>
      <w:lvlJc w:val="right"/>
      <w:pPr>
        <w:ind w:left="2525" w:hanging="180"/>
      </w:pPr>
    </w:lvl>
    <w:lvl w:ilvl="3" w:tplc="0426000F" w:tentative="1">
      <w:start w:val="1"/>
      <w:numFmt w:val="decimal"/>
      <w:lvlText w:val="%4."/>
      <w:lvlJc w:val="left"/>
      <w:pPr>
        <w:ind w:left="3245" w:hanging="360"/>
      </w:pPr>
    </w:lvl>
    <w:lvl w:ilvl="4" w:tplc="04260019" w:tentative="1">
      <w:start w:val="1"/>
      <w:numFmt w:val="lowerLetter"/>
      <w:lvlText w:val="%5."/>
      <w:lvlJc w:val="left"/>
      <w:pPr>
        <w:ind w:left="3965" w:hanging="360"/>
      </w:pPr>
    </w:lvl>
    <w:lvl w:ilvl="5" w:tplc="0426001B" w:tentative="1">
      <w:start w:val="1"/>
      <w:numFmt w:val="lowerRoman"/>
      <w:lvlText w:val="%6."/>
      <w:lvlJc w:val="right"/>
      <w:pPr>
        <w:ind w:left="4685" w:hanging="180"/>
      </w:pPr>
    </w:lvl>
    <w:lvl w:ilvl="6" w:tplc="0426000F" w:tentative="1">
      <w:start w:val="1"/>
      <w:numFmt w:val="decimal"/>
      <w:lvlText w:val="%7."/>
      <w:lvlJc w:val="left"/>
      <w:pPr>
        <w:ind w:left="5405" w:hanging="360"/>
      </w:pPr>
    </w:lvl>
    <w:lvl w:ilvl="7" w:tplc="04260019" w:tentative="1">
      <w:start w:val="1"/>
      <w:numFmt w:val="lowerLetter"/>
      <w:lvlText w:val="%8."/>
      <w:lvlJc w:val="left"/>
      <w:pPr>
        <w:ind w:left="6125" w:hanging="360"/>
      </w:pPr>
    </w:lvl>
    <w:lvl w:ilvl="8" w:tplc="0426001B" w:tentative="1">
      <w:start w:val="1"/>
      <w:numFmt w:val="lowerRoman"/>
      <w:lvlText w:val="%9."/>
      <w:lvlJc w:val="right"/>
      <w:pPr>
        <w:ind w:left="6845" w:hanging="180"/>
      </w:pPr>
    </w:lvl>
  </w:abstractNum>
  <w:abstractNum w:abstractNumId="4" w15:restartNumberingAfterBreak="0">
    <w:nsid w:val="0F77744F"/>
    <w:multiLevelType w:val="hybridMultilevel"/>
    <w:tmpl w:val="A350A518"/>
    <w:lvl w:ilvl="0" w:tplc="CA301CBC">
      <w:start w:val="1"/>
      <w:numFmt w:val="decimal"/>
      <w:lvlText w:val="%1."/>
      <w:lvlJc w:val="left"/>
      <w:pPr>
        <w:ind w:left="712" w:hanging="360"/>
      </w:pPr>
      <w:rPr>
        <w:rFonts w:hint="default"/>
      </w:rPr>
    </w:lvl>
    <w:lvl w:ilvl="1" w:tplc="04260019" w:tentative="1">
      <w:start w:val="1"/>
      <w:numFmt w:val="lowerLetter"/>
      <w:lvlText w:val="%2."/>
      <w:lvlJc w:val="left"/>
      <w:pPr>
        <w:ind w:left="1432" w:hanging="360"/>
      </w:pPr>
    </w:lvl>
    <w:lvl w:ilvl="2" w:tplc="0426001B" w:tentative="1">
      <w:start w:val="1"/>
      <w:numFmt w:val="lowerRoman"/>
      <w:lvlText w:val="%3."/>
      <w:lvlJc w:val="right"/>
      <w:pPr>
        <w:ind w:left="2152" w:hanging="180"/>
      </w:pPr>
    </w:lvl>
    <w:lvl w:ilvl="3" w:tplc="0426000F" w:tentative="1">
      <w:start w:val="1"/>
      <w:numFmt w:val="decimal"/>
      <w:lvlText w:val="%4."/>
      <w:lvlJc w:val="left"/>
      <w:pPr>
        <w:ind w:left="2872" w:hanging="360"/>
      </w:pPr>
    </w:lvl>
    <w:lvl w:ilvl="4" w:tplc="04260019" w:tentative="1">
      <w:start w:val="1"/>
      <w:numFmt w:val="lowerLetter"/>
      <w:lvlText w:val="%5."/>
      <w:lvlJc w:val="left"/>
      <w:pPr>
        <w:ind w:left="3592" w:hanging="360"/>
      </w:pPr>
    </w:lvl>
    <w:lvl w:ilvl="5" w:tplc="0426001B" w:tentative="1">
      <w:start w:val="1"/>
      <w:numFmt w:val="lowerRoman"/>
      <w:lvlText w:val="%6."/>
      <w:lvlJc w:val="right"/>
      <w:pPr>
        <w:ind w:left="4312" w:hanging="180"/>
      </w:pPr>
    </w:lvl>
    <w:lvl w:ilvl="6" w:tplc="0426000F" w:tentative="1">
      <w:start w:val="1"/>
      <w:numFmt w:val="decimal"/>
      <w:lvlText w:val="%7."/>
      <w:lvlJc w:val="left"/>
      <w:pPr>
        <w:ind w:left="5032" w:hanging="360"/>
      </w:pPr>
    </w:lvl>
    <w:lvl w:ilvl="7" w:tplc="04260019" w:tentative="1">
      <w:start w:val="1"/>
      <w:numFmt w:val="lowerLetter"/>
      <w:lvlText w:val="%8."/>
      <w:lvlJc w:val="left"/>
      <w:pPr>
        <w:ind w:left="5752" w:hanging="360"/>
      </w:pPr>
    </w:lvl>
    <w:lvl w:ilvl="8" w:tplc="0426001B" w:tentative="1">
      <w:start w:val="1"/>
      <w:numFmt w:val="lowerRoman"/>
      <w:lvlText w:val="%9."/>
      <w:lvlJc w:val="right"/>
      <w:pPr>
        <w:ind w:left="6472" w:hanging="180"/>
      </w:pPr>
    </w:lvl>
  </w:abstractNum>
  <w:abstractNum w:abstractNumId="5" w15:restartNumberingAfterBreak="0">
    <w:nsid w:val="26400F92"/>
    <w:multiLevelType w:val="hybridMultilevel"/>
    <w:tmpl w:val="E7EA9052"/>
    <w:lvl w:ilvl="0" w:tplc="04260001">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6" w15:restartNumberingAfterBreak="0">
    <w:nsid w:val="28E04848"/>
    <w:multiLevelType w:val="hybridMultilevel"/>
    <w:tmpl w:val="2ECE20A4"/>
    <w:lvl w:ilvl="0" w:tplc="3352461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805287"/>
    <w:multiLevelType w:val="hybridMultilevel"/>
    <w:tmpl w:val="286880CC"/>
    <w:lvl w:ilvl="0" w:tplc="64AA3D96">
      <w:start w:val="5"/>
      <w:numFmt w:val="decimal"/>
      <w:lvlText w:val="%1."/>
      <w:lvlJc w:val="left"/>
      <w:pPr>
        <w:ind w:left="1445" w:hanging="360"/>
      </w:pPr>
      <w:rPr>
        <w:rFonts w:hint="default"/>
      </w:rPr>
    </w:lvl>
    <w:lvl w:ilvl="1" w:tplc="04260019" w:tentative="1">
      <w:start w:val="1"/>
      <w:numFmt w:val="lowerLetter"/>
      <w:lvlText w:val="%2."/>
      <w:lvlJc w:val="left"/>
      <w:pPr>
        <w:ind w:left="2165" w:hanging="360"/>
      </w:pPr>
    </w:lvl>
    <w:lvl w:ilvl="2" w:tplc="0426001B" w:tentative="1">
      <w:start w:val="1"/>
      <w:numFmt w:val="lowerRoman"/>
      <w:lvlText w:val="%3."/>
      <w:lvlJc w:val="right"/>
      <w:pPr>
        <w:ind w:left="2885" w:hanging="180"/>
      </w:pPr>
    </w:lvl>
    <w:lvl w:ilvl="3" w:tplc="0426000F" w:tentative="1">
      <w:start w:val="1"/>
      <w:numFmt w:val="decimal"/>
      <w:lvlText w:val="%4."/>
      <w:lvlJc w:val="left"/>
      <w:pPr>
        <w:ind w:left="3605" w:hanging="360"/>
      </w:pPr>
    </w:lvl>
    <w:lvl w:ilvl="4" w:tplc="04260019" w:tentative="1">
      <w:start w:val="1"/>
      <w:numFmt w:val="lowerLetter"/>
      <w:lvlText w:val="%5."/>
      <w:lvlJc w:val="left"/>
      <w:pPr>
        <w:ind w:left="4325" w:hanging="360"/>
      </w:pPr>
    </w:lvl>
    <w:lvl w:ilvl="5" w:tplc="0426001B" w:tentative="1">
      <w:start w:val="1"/>
      <w:numFmt w:val="lowerRoman"/>
      <w:lvlText w:val="%6."/>
      <w:lvlJc w:val="right"/>
      <w:pPr>
        <w:ind w:left="5045" w:hanging="180"/>
      </w:pPr>
    </w:lvl>
    <w:lvl w:ilvl="6" w:tplc="0426000F" w:tentative="1">
      <w:start w:val="1"/>
      <w:numFmt w:val="decimal"/>
      <w:lvlText w:val="%7."/>
      <w:lvlJc w:val="left"/>
      <w:pPr>
        <w:ind w:left="5765" w:hanging="360"/>
      </w:pPr>
    </w:lvl>
    <w:lvl w:ilvl="7" w:tplc="04260019" w:tentative="1">
      <w:start w:val="1"/>
      <w:numFmt w:val="lowerLetter"/>
      <w:lvlText w:val="%8."/>
      <w:lvlJc w:val="left"/>
      <w:pPr>
        <w:ind w:left="6485" w:hanging="360"/>
      </w:pPr>
    </w:lvl>
    <w:lvl w:ilvl="8" w:tplc="0426001B" w:tentative="1">
      <w:start w:val="1"/>
      <w:numFmt w:val="lowerRoman"/>
      <w:lvlText w:val="%9."/>
      <w:lvlJc w:val="right"/>
      <w:pPr>
        <w:ind w:left="7205" w:hanging="180"/>
      </w:pPr>
    </w:lvl>
  </w:abstractNum>
  <w:abstractNum w:abstractNumId="8" w15:restartNumberingAfterBreak="0">
    <w:nsid w:val="376F5790"/>
    <w:multiLevelType w:val="multilevel"/>
    <w:tmpl w:val="F3F2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B46FDD"/>
    <w:multiLevelType w:val="hybridMultilevel"/>
    <w:tmpl w:val="A61ADA3E"/>
    <w:lvl w:ilvl="0" w:tplc="01207118">
      <w:start w:val="1"/>
      <w:numFmt w:val="decimal"/>
      <w:lvlText w:val="%1)"/>
      <w:lvlJc w:val="left"/>
      <w:pPr>
        <w:ind w:left="792" w:hanging="564"/>
      </w:pPr>
      <w:rPr>
        <w:rFonts w:ascii="Times New Roman" w:eastAsia="Times New Roman" w:hAnsi="Times New Roman" w:cs="Times New Roman"/>
      </w:rPr>
    </w:lvl>
    <w:lvl w:ilvl="1" w:tplc="04260019" w:tentative="1">
      <w:start w:val="1"/>
      <w:numFmt w:val="lowerLetter"/>
      <w:lvlText w:val="%2."/>
      <w:lvlJc w:val="left"/>
      <w:pPr>
        <w:ind w:left="1308" w:hanging="360"/>
      </w:pPr>
    </w:lvl>
    <w:lvl w:ilvl="2" w:tplc="0426001B" w:tentative="1">
      <w:start w:val="1"/>
      <w:numFmt w:val="lowerRoman"/>
      <w:lvlText w:val="%3."/>
      <w:lvlJc w:val="right"/>
      <w:pPr>
        <w:ind w:left="2028" w:hanging="180"/>
      </w:pPr>
    </w:lvl>
    <w:lvl w:ilvl="3" w:tplc="0426000F" w:tentative="1">
      <w:start w:val="1"/>
      <w:numFmt w:val="decimal"/>
      <w:lvlText w:val="%4."/>
      <w:lvlJc w:val="left"/>
      <w:pPr>
        <w:ind w:left="2748" w:hanging="360"/>
      </w:pPr>
    </w:lvl>
    <w:lvl w:ilvl="4" w:tplc="04260019" w:tentative="1">
      <w:start w:val="1"/>
      <w:numFmt w:val="lowerLetter"/>
      <w:lvlText w:val="%5."/>
      <w:lvlJc w:val="left"/>
      <w:pPr>
        <w:ind w:left="3468" w:hanging="360"/>
      </w:pPr>
    </w:lvl>
    <w:lvl w:ilvl="5" w:tplc="0426001B" w:tentative="1">
      <w:start w:val="1"/>
      <w:numFmt w:val="lowerRoman"/>
      <w:lvlText w:val="%6."/>
      <w:lvlJc w:val="right"/>
      <w:pPr>
        <w:ind w:left="4188" w:hanging="180"/>
      </w:pPr>
    </w:lvl>
    <w:lvl w:ilvl="6" w:tplc="0426000F" w:tentative="1">
      <w:start w:val="1"/>
      <w:numFmt w:val="decimal"/>
      <w:lvlText w:val="%7."/>
      <w:lvlJc w:val="left"/>
      <w:pPr>
        <w:ind w:left="4908" w:hanging="360"/>
      </w:pPr>
    </w:lvl>
    <w:lvl w:ilvl="7" w:tplc="04260019" w:tentative="1">
      <w:start w:val="1"/>
      <w:numFmt w:val="lowerLetter"/>
      <w:lvlText w:val="%8."/>
      <w:lvlJc w:val="left"/>
      <w:pPr>
        <w:ind w:left="5628" w:hanging="360"/>
      </w:pPr>
    </w:lvl>
    <w:lvl w:ilvl="8" w:tplc="0426001B" w:tentative="1">
      <w:start w:val="1"/>
      <w:numFmt w:val="lowerRoman"/>
      <w:lvlText w:val="%9."/>
      <w:lvlJc w:val="right"/>
      <w:pPr>
        <w:ind w:left="6348" w:hanging="180"/>
      </w:pPr>
    </w:lvl>
  </w:abstractNum>
  <w:abstractNum w:abstractNumId="10" w15:restartNumberingAfterBreak="0">
    <w:nsid w:val="41715AFD"/>
    <w:multiLevelType w:val="multilevel"/>
    <w:tmpl w:val="E108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D34A3"/>
    <w:multiLevelType w:val="hybridMultilevel"/>
    <w:tmpl w:val="B6823876"/>
    <w:lvl w:ilvl="0" w:tplc="EC725204">
      <w:numFmt w:val="bullet"/>
      <w:lvlText w:val="-"/>
      <w:lvlJc w:val="left"/>
      <w:pPr>
        <w:ind w:left="607" w:hanging="360"/>
      </w:pPr>
      <w:rPr>
        <w:rFonts w:ascii="Times New Roman" w:eastAsia="Times New Roman" w:hAnsi="Times New Roman" w:cs="Times New Roman" w:hint="default"/>
      </w:rPr>
    </w:lvl>
    <w:lvl w:ilvl="1" w:tplc="04260003" w:tentative="1">
      <w:start w:val="1"/>
      <w:numFmt w:val="bullet"/>
      <w:lvlText w:val="o"/>
      <w:lvlJc w:val="left"/>
      <w:pPr>
        <w:ind w:left="1327" w:hanging="360"/>
      </w:pPr>
      <w:rPr>
        <w:rFonts w:ascii="Courier New" w:hAnsi="Courier New" w:cs="Courier New" w:hint="default"/>
      </w:rPr>
    </w:lvl>
    <w:lvl w:ilvl="2" w:tplc="04260005" w:tentative="1">
      <w:start w:val="1"/>
      <w:numFmt w:val="bullet"/>
      <w:lvlText w:val=""/>
      <w:lvlJc w:val="left"/>
      <w:pPr>
        <w:ind w:left="2047" w:hanging="360"/>
      </w:pPr>
      <w:rPr>
        <w:rFonts w:ascii="Wingdings" w:hAnsi="Wingdings" w:hint="default"/>
      </w:rPr>
    </w:lvl>
    <w:lvl w:ilvl="3" w:tplc="04260001" w:tentative="1">
      <w:start w:val="1"/>
      <w:numFmt w:val="bullet"/>
      <w:lvlText w:val=""/>
      <w:lvlJc w:val="left"/>
      <w:pPr>
        <w:ind w:left="2767" w:hanging="360"/>
      </w:pPr>
      <w:rPr>
        <w:rFonts w:ascii="Symbol" w:hAnsi="Symbol" w:hint="default"/>
      </w:rPr>
    </w:lvl>
    <w:lvl w:ilvl="4" w:tplc="04260003" w:tentative="1">
      <w:start w:val="1"/>
      <w:numFmt w:val="bullet"/>
      <w:lvlText w:val="o"/>
      <w:lvlJc w:val="left"/>
      <w:pPr>
        <w:ind w:left="3487" w:hanging="360"/>
      </w:pPr>
      <w:rPr>
        <w:rFonts w:ascii="Courier New" w:hAnsi="Courier New" w:cs="Courier New" w:hint="default"/>
      </w:rPr>
    </w:lvl>
    <w:lvl w:ilvl="5" w:tplc="04260005" w:tentative="1">
      <w:start w:val="1"/>
      <w:numFmt w:val="bullet"/>
      <w:lvlText w:val=""/>
      <w:lvlJc w:val="left"/>
      <w:pPr>
        <w:ind w:left="4207" w:hanging="360"/>
      </w:pPr>
      <w:rPr>
        <w:rFonts w:ascii="Wingdings" w:hAnsi="Wingdings" w:hint="default"/>
      </w:rPr>
    </w:lvl>
    <w:lvl w:ilvl="6" w:tplc="04260001" w:tentative="1">
      <w:start w:val="1"/>
      <w:numFmt w:val="bullet"/>
      <w:lvlText w:val=""/>
      <w:lvlJc w:val="left"/>
      <w:pPr>
        <w:ind w:left="4927" w:hanging="360"/>
      </w:pPr>
      <w:rPr>
        <w:rFonts w:ascii="Symbol" w:hAnsi="Symbol" w:hint="default"/>
      </w:rPr>
    </w:lvl>
    <w:lvl w:ilvl="7" w:tplc="04260003" w:tentative="1">
      <w:start w:val="1"/>
      <w:numFmt w:val="bullet"/>
      <w:lvlText w:val="o"/>
      <w:lvlJc w:val="left"/>
      <w:pPr>
        <w:ind w:left="5647" w:hanging="360"/>
      </w:pPr>
      <w:rPr>
        <w:rFonts w:ascii="Courier New" w:hAnsi="Courier New" w:cs="Courier New" w:hint="default"/>
      </w:rPr>
    </w:lvl>
    <w:lvl w:ilvl="8" w:tplc="04260005" w:tentative="1">
      <w:start w:val="1"/>
      <w:numFmt w:val="bullet"/>
      <w:lvlText w:val=""/>
      <w:lvlJc w:val="left"/>
      <w:pPr>
        <w:ind w:left="6367" w:hanging="360"/>
      </w:pPr>
      <w:rPr>
        <w:rFonts w:ascii="Wingdings" w:hAnsi="Wingdings" w:hint="default"/>
      </w:rPr>
    </w:lvl>
  </w:abstractNum>
  <w:abstractNum w:abstractNumId="12" w15:restartNumberingAfterBreak="0">
    <w:nsid w:val="476525E6"/>
    <w:multiLevelType w:val="hybridMultilevel"/>
    <w:tmpl w:val="8C948B0C"/>
    <w:lvl w:ilvl="0" w:tplc="C2001E16">
      <w:numFmt w:val="bullet"/>
      <w:lvlText w:val="-"/>
      <w:lvlJc w:val="left"/>
      <w:pPr>
        <w:ind w:left="720" w:hanging="360"/>
      </w:pPr>
      <w:rPr>
        <w:rFonts w:ascii="Cambria" w:eastAsia="Times New Roman"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9B56C57"/>
    <w:multiLevelType w:val="hybridMultilevel"/>
    <w:tmpl w:val="7D4072AE"/>
    <w:lvl w:ilvl="0" w:tplc="CB04ED4E">
      <w:start w:val="1"/>
      <w:numFmt w:val="decimal"/>
      <w:lvlText w:val="%1)"/>
      <w:lvlJc w:val="left"/>
      <w:pPr>
        <w:ind w:left="620" w:hanging="360"/>
      </w:pPr>
      <w:rPr>
        <w:rFonts w:hint="default"/>
      </w:rPr>
    </w:lvl>
    <w:lvl w:ilvl="1" w:tplc="04260019" w:tentative="1">
      <w:start w:val="1"/>
      <w:numFmt w:val="lowerLetter"/>
      <w:lvlText w:val="%2."/>
      <w:lvlJc w:val="left"/>
      <w:pPr>
        <w:ind w:left="1340" w:hanging="360"/>
      </w:pPr>
    </w:lvl>
    <w:lvl w:ilvl="2" w:tplc="0426001B" w:tentative="1">
      <w:start w:val="1"/>
      <w:numFmt w:val="lowerRoman"/>
      <w:lvlText w:val="%3."/>
      <w:lvlJc w:val="right"/>
      <w:pPr>
        <w:ind w:left="2060" w:hanging="180"/>
      </w:pPr>
    </w:lvl>
    <w:lvl w:ilvl="3" w:tplc="0426000F" w:tentative="1">
      <w:start w:val="1"/>
      <w:numFmt w:val="decimal"/>
      <w:lvlText w:val="%4."/>
      <w:lvlJc w:val="left"/>
      <w:pPr>
        <w:ind w:left="2780" w:hanging="360"/>
      </w:pPr>
    </w:lvl>
    <w:lvl w:ilvl="4" w:tplc="04260019" w:tentative="1">
      <w:start w:val="1"/>
      <w:numFmt w:val="lowerLetter"/>
      <w:lvlText w:val="%5."/>
      <w:lvlJc w:val="left"/>
      <w:pPr>
        <w:ind w:left="3500" w:hanging="360"/>
      </w:pPr>
    </w:lvl>
    <w:lvl w:ilvl="5" w:tplc="0426001B" w:tentative="1">
      <w:start w:val="1"/>
      <w:numFmt w:val="lowerRoman"/>
      <w:lvlText w:val="%6."/>
      <w:lvlJc w:val="right"/>
      <w:pPr>
        <w:ind w:left="4220" w:hanging="180"/>
      </w:pPr>
    </w:lvl>
    <w:lvl w:ilvl="6" w:tplc="0426000F" w:tentative="1">
      <w:start w:val="1"/>
      <w:numFmt w:val="decimal"/>
      <w:lvlText w:val="%7."/>
      <w:lvlJc w:val="left"/>
      <w:pPr>
        <w:ind w:left="4940" w:hanging="360"/>
      </w:pPr>
    </w:lvl>
    <w:lvl w:ilvl="7" w:tplc="04260019" w:tentative="1">
      <w:start w:val="1"/>
      <w:numFmt w:val="lowerLetter"/>
      <w:lvlText w:val="%8."/>
      <w:lvlJc w:val="left"/>
      <w:pPr>
        <w:ind w:left="5660" w:hanging="360"/>
      </w:pPr>
    </w:lvl>
    <w:lvl w:ilvl="8" w:tplc="0426001B" w:tentative="1">
      <w:start w:val="1"/>
      <w:numFmt w:val="lowerRoman"/>
      <w:lvlText w:val="%9."/>
      <w:lvlJc w:val="right"/>
      <w:pPr>
        <w:ind w:left="6380" w:hanging="180"/>
      </w:pPr>
    </w:lvl>
  </w:abstractNum>
  <w:abstractNum w:abstractNumId="14" w15:restartNumberingAfterBreak="0">
    <w:nsid w:val="566B07A4"/>
    <w:multiLevelType w:val="hybridMultilevel"/>
    <w:tmpl w:val="05F83E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6447E4B"/>
    <w:multiLevelType w:val="hybridMultilevel"/>
    <w:tmpl w:val="9CCCD376"/>
    <w:lvl w:ilvl="0" w:tplc="FBDA969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A633696"/>
    <w:multiLevelType w:val="hybridMultilevel"/>
    <w:tmpl w:val="258AA82C"/>
    <w:lvl w:ilvl="0" w:tplc="0D4A382A">
      <w:start w:val="5"/>
      <w:numFmt w:val="decimal"/>
      <w:lvlText w:val="%1."/>
      <w:lvlJc w:val="left"/>
      <w:pPr>
        <w:ind w:left="1445" w:hanging="360"/>
      </w:pPr>
      <w:rPr>
        <w:rFonts w:hint="default"/>
      </w:rPr>
    </w:lvl>
    <w:lvl w:ilvl="1" w:tplc="04260019" w:tentative="1">
      <w:start w:val="1"/>
      <w:numFmt w:val="lowerLetter"/>
      <w:lvlText w:val="%2."/>
      <w:lvlJc w:val="left"/>
      <w:pPr>
        <w:ind w:left="2165" w:hanging="360"/>
      </w:pPr>
    </w:lvl>
    <w:lvl w:ilvl="2" w:tplc="0426001B" w:tentative="1">
      <w:start w:val="1"/>
      <w:numFmt w:val="lowerRoman"/>
      <w:lvlText w:val="%3."/>
      <w:lvlJc w:val="right"/>
      <w:pPr>
        <w:ind w:left="2885" w:hanging="180"/>
      </w:pPr>
    </w:lvl>
    <w:lvl w:ilvl="3" w:tplc="0426000F" w:tentative="1">
      <w:start w:val="1"/>
      <w:numFmt w:val="decimal"/>
      <w:lvlText w:val="%4."/>
      <w:lvlJc w:val="left"/>
      <w:pPr>
        <w:ind w:left="3605" w:hanging="360"/>
      </w:pPr>
    </w:lvl>
    <w:lvl w:ilvl="4" w:tplc="04260019" w:tentative="1">
      <w:start w:val="1"/>
      <w:numFmt w:val="lowerLetter"/>
      <w:lvlText w:val="%5."/>
      <w:lvlJc w:val="left"/>
      <w:pPr>
        <w:ind w:left="4325" w:hanging="360"/>
      </w:pPr>
    </w:lvl>
    <w:lvl w:ilvl="5" w:tplc="0426001B" w:tentative="1">
      <w:start w:val="1"/>
      <w:numFmt w:val="lowerRoman"/>
      <w:lvlText w:val="%6."/>
      <w:lvlJc w:val="right"/>
      <w:pPr>
        <w:ind w:left="5045" w:hanging="180"/>
      </w:pPr>
    </w:lvl>
    <w:lvl w:ilvl="6" w:tplc="0426000F" w:tentative="1">
      <w:start w:val="1"/>
      <w:numFmt w:val="decimal"/>
      <w:lvlText w:val="%7."/>
      <w:lvlJc w:val="left"/>
      <w:pPr>
        <w:ind w:left="5765" w:hanging="360"/>
      </w:pPr>
    </w:lvl>
    <w:lvl w:ilvl="7" w:tplc="04260019" w:tentative="1">
      <w:start w:val="1"/>
      <w:numFmt w:val="lowerLetter"/>
      <w:lvlText w:val="%8."/>
      <w:lvlJc w:val="left"/>
      <w:pPr>
        <w:ind w:left="6485" w:hanging="360"/>
      </w:pPr>
    </w:lvl>
    <w:lvl w:ilvl="8" w:tplc="0426001B" w:tentative="1">
      <w:start w:val="1"/>
      <w:numFmt w:val="lowerRoman"/>
      <w:lvlText w:val="%9."/>
      <w:lvlJc w:val="right"/>
      <w:pPr>
        <w:ind w:left="7205" w:hanging="180"/>
      </w:pPr>
    </w:lvl>
  </w:abstractNum>
  <w:abstractNum w:abstractNumId="17" w15:restartNumberingAfterBreak="0">
    <w:nsid w:val="6B0D27F3"/>
    <w:multiLevelType w:val="hybridMultilevel"/>
    <w:tmpl w:val="1A56A382"/>
    <w:lvl w:ilvl="0" w:tplc="5170AE84">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6CAE1685"/>
    <w:multiLevelType w:val="hybridMultilevel"/>
    <w:tmpl w:val="510A478E"/>
    <w:lvl w:ilvl="0" w:tplc="6374DD7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AE4CDB"/>
    <w:multiLevelType w:val="hybridMultilevel"/>
    <w:tmpl w:val="BCFED5A0"/>
    <w:lvl w:ilvl="0" w:tplc="35CADA6A">
      <w:start w:val="1"/>
      <w:numFmt w:val="decimal"/>
      <w:lvlText w:val="%1)"/>
      <w:lvlJc w:val="left"/>
      <w:pPr>
        <w:ind w:left="620" w:hanging="360"/>
      </w:pPr>
      <w:rPr>
        <w:rFonts w:hint="default"/>
      </w:rPr>
    </w:lvl>
    <w:lvl w:ilvl="1" w:tplc="04260019" w:tentative="1">
      <w:start w:val="1"/>
      <w:numFmt w:val="lowerLetter"/>
      <w:lvlText w:val="%2."/>
      <w:lvlJc w:val="left"/>
      <w:pPr>
        <w:ind w:left="1340" w:hanging="360"/>
      </w:pPr>
    </w:lvl>
    <w:lvl w:ilvl="2" w:tplc="0426001B" w:tentative="1">
      <w:start w:val="1"/>
      <w:numFmt w:val="lowerRoman"/>
      <w:lvlText w:val="%3."/>
      <w:lvlJc w:val="right"/>
      <w:pPr>
        <w:ind w:left="2060" w:hanging="180"/>
      </w:pPr>
    </w:lvl>
    <w:lvl w:ilvl="3" w:tplc="0426000F" w:tentative="1">
      <w:start w:val="1"/>
      <w:numFmt w:val="decimal"/>
      <w:lvlText w:val="%4."/>
      <w:lvlJc w:val="left"/>
      <w:pPr>
        <w:ind w:left="2780" w:hanging="360"/>
      </w:pPr>
    </w:lvl>
    <w:lvl w:ilvl="4" w:tplc="04260019" w:tentative="1">
      <w:start w:val="1"/>
      <w:numFmt w:val="lowerLetter"/>
      <w:lvlText w:val="%5."/>
      <w:lvlJc w:val="left"/>
      <w:pPr>
        <w:ind w:left="3500" w:hanging="360"/>
      </w:pPr>
    </w:lvl>
    <w:lvl w:ilvl="5" w:tplc="0426001B" w:tentative="1">
      <w:start w:val="1"/>
      <w:numFmt w:val="lowerRoman"/>
      <w:lvlText w:val="%6."/>
      <w:lvlJc w:val="right"/>
      <w:pPr>
        <w:ind w:left="4220" w:hanging="180"/>
      </w:pPr>
    </w:lvl>
    <w:lvl w:ilvl="6" w:tplc="0426000F" w:tentative="1">
      <w:start w:val="1"/>
      <w:numFmt w:val="decimal"/>
      <w:lvlText w:val="%7."/>
      <w:lvlJc w:val="left"/>
      <w:pPr>
        <w:ind w:left="4940" w:hanging="360"/>
      </w:pPr>
    </w:lvl>
    <w:lvl w:ilvl="7" w:tplc="04260019" w:tentative="1">
      <w:start w:val="1"/>
      <w:numFmt w:val="lowerLetter"/>
      <w:lvlText w:val="%8."/>
      <w:lvlJc w:val="left"/>
      <w:pPr>
        <w:ind w:left="5660" w:hanging="360"/>
      </w:pPr>
    </w:lvl>
    <w:lvl w:ilvl="8" w:tplc="0426001B" w:tentative="1">
      <w:start w:val="1"/>
      <w:numFmt w:val="lowerRoman"/>
      <w:lvlText w:val="%9."/>
      <w:lvlJc w:val="right"/>
      <w:pPr>
        <w:ind w:left="6380" w:hanging="180"/>
      </w:pPr>
    </w:lvl>
  </w:abstractNum>
  <w:abstractNum w:abstractNumId="20" w15:restartNumberingAfterBreak="0">
    <w:nsid w:val="71517FAD"/>
    <w:multiLevelType w:val="hybridMultilevel"/>
    <w:tmpl w:val="B34E69A4"/>
    <w:lvl w:ilvl="0" w:tplc="564E5ED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1AE7AE5"/>
    <w:multiLevelType w:val="hybridMultilevel"/>
    <w:tmpl w:val="3DFEAF6C"/>
    <w:lvl w:ilvl="0" w:tplc="AC42FF6A">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2" w15:restartNumberingAfterBreak="0">
    <w:nsid w:val="72D94001"/>
    <w:multiLevelType w:val="hybridMultilevel"/>
    <w:tmpl w:val="2EACC2A8"/>
    <w:lvl w:ilvl="0" w:tplc="0B0E6AF2">
      <w:start w:val="1"/>
      <w:numFmt w:val="decimal"/>
      <w:lvlText w:val="%1."/>
      <w:lvlJc w:val="left"/>
      <w:pPr>
        <w:ind w:left="1085" w:hanging="360"/>
      </w:pPr>
      <w:rPr>
        <w:rFonts w:hint="default"/>
      </w:rPr>
    </w:lvl>
    <w:lvl w:ilvl="1" w:tplc="04260019" w:tentative="1">
      <w:start w:val="1"/>
      <w:numFmt w:val="lowerLetter"/>
      <w:lvlText w:val="%2."/>
      <w:lvlJc w:val="left"/>
      <w:pPr>
        <w:ind w:left="1805" w:hanging="360"/>
      </w:pPr>
    </w:lvl>
    <w:lvl w:ilvl="2" w:tplc="0426001B" w:tentative="1">
      <w:start w:val="1"/>
      <w:numFmt w:val="lowerRoman"/>
      <w:lvlText w:val="%3."/>
      <w:lvlJc w:val="right"/>
      <w:pPr>
        <w:ind w:left="2525" w:hanging="180"/>
      </w:pPr>
    </w:lvl>
    <w:lvl w:ilvl="3" w:tplc="0426000F" w:tentative="1">
      <w:start w:val="1"/>
      <w:numFmt w:val="decimal"/>
      <w:lvlText w:val="%4."/>
      <w:lvlJc w:val="left"/>
      <w:pPr>
        <w:ind w:left="3245" w:hanging="360"/>
      </w:pPr>
    </w:lvl>
    <w:lvl w:ilvl="4" w:tplc="04260019" w:tentative="1">
      <w:start w:val="1"/>
      <w:numFmt w:val="lowerLetter"/>
      <w:lvlText w:val="%5."/>
      <w:lvlJc w:val="left"/>
      <w:pPr>
        <w:ind w:left="3965" w:hanging="360"/>
      </w:pPr>
    </w:lvl>
    <w:lvl w:ilvl="5" w:tplc="0426001B" w:tentative="1">
      <w:start w:val="1"/>
      <w:numFmt w:val="lowerRoman"/>
      <w:lvlText w:val="%6."/>
      <w:lvlJc w:val="right"/>
      <w:pPr>
        <w:ind w:left="4685" w:hanging="180"/>
      </w:pPr>
    </w:lvl>
    <w:lvl w:ilvl="6" w:tplc="0426000F" w:tentative="1">
      <w:start w:val="1"/>
      <w:numFmt w:val="decimal"/>
      <w:lvlText w:val="%7."/>
      <w:lvlJc w:val="left"/>
      <w:pPr>
        <w:ind w:left="5405" w:hanging="360"/>
      </w:pPr>
    </w:lvl>
    <w:lvl w:ilvl="7" w:tplc="04260019" w:tentative="1">
      <w:start w:val="1"/>
      <w:numFmt w:val="lowerLetter"/>
      <w:lvlText w:val="%8."/>
      <w:lvlJc w:val="left"/>
      <w:pPr>
        <w:ind w:left="6125" w:hanging="360"/>
      </w:pPr>
    </w:lvl>
    <w:lvl w:ilvl="8" w:tplc="0426001B" w:tentative="1">
      <w:start w:val="1"/>
      <w:numFmt w:val="lowerRoman"/>
      <w:lvlText w:val="%9."/>
      <w:lvlJc w:val="right"/>
      <w:pPr>
        <w:ind w:left="6845" w:hanging="180"/>
      </w:pPr>
    </w:lvl>
  </w:abstractNum>
  <w:abstractNum w:abstractNumId="23" w15:restartNumberingAfterBreak="0">
    <w:nsid w:val="74CB7417"/>
    <w:multiLevelType w:val="hybridMultilevel"/>
    <w:tmpl w:val="AD3C677A"/>
    <w:lvl w:ilvl="0" w:tplc="918E99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22"/>
  </w:num>
  <w:num w:numId="3">
    <w:abstractNumId w:val="13"/>
  </w:num>
  <w:num w:numId="4">
    <w:abstractNumId w:val="19"/>
  </w:num>
  <w:num w:numId="5">
    <w:abstractNumId w:val="5"/>
  </w:num>
  <w:num w:numId="6">
    <w:abstractNumId w:val="12"/>
  </w:num>
  <w:num w:numId="7">
    <w:abstractNumId w:val="3"/>
  </w:num>
  <w:num w:numId="8">
    <w:abstractNumId w:val="1"/>
  </w:num>
  <w:num w:numId="9">
    <w:abstractNumId w:val="16"/>
  </w:num>
  <w:num w:numId="10">
    <w:abstractNumId w:val="7"/>
  </w:num>
  <w:num w:numId="11">
    <w:abstractNumId w:val="15"/>
  </w:num>
  <w:num w:numId="12">
    <w:abstractNumId w:val="9"/>
  </w:num>
  <w:num w:numId="13">
    <w:abstractNumId w:val="14"/>
  </w:num>
  <w:num w:numId="14">
    <w:abstractNumId w:val="4"/>
  </w:num>
  <w:num w:numId="15">
    <w:abstractNumId w:val="21"/>
  </w:num>
  <w:num w:numId="16">
    <w:abstractNumId w:val="17"/>
  </w:num>
  <w:num w:numId="17">
    <w:abstractNumId w:val="0"/>
  </w:num>
  <w:num w:numId="18">
    <w:abstractNumId w:val="20"/>
  </w:num>
  <w:num w:numId="19">
    <w:abstractNumId w:val="23"/>
  </w:num>
  <w:num w:numId="20">
    <w:abstractNumId w:val="6"/>
  </w:num>
  <w:num w:numId="21">
    <w:abstractNumId w:val="18"/>
  </w:num>
  <w:num w:numId="22">
    <w:abstractNumId w:val="8"/>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2A49"/>
    <w:rsid w:val="000066EA"/>
    <w:rsid w:val="00007EEE"/>
    <w:rsid w:val="0003391E"/>
    <w:rsid w:val="00047406"/>
    <w:rsid w:val="000509C9"/>
    <w:rsid w:val="00051CC1"/>
    <w:rsid w:val="00052657"/>
    <w:rsid w:val="00064AFF"/>
    <w:rsid w:val="00083FFB"/>
    <w:rsid w:val="00087451"/>
    <w:rsid w:val="00087AE9"/>
    <w:rsid w:val="0009085E"/>
    <w:rsid w:val="000A0164"/>
    <w:rsid w:val="000A7414"/>
    <w:rsid w:val="000B5D1C"/>
    <w:rsid w:val="000B62D3"/>
    <w:rsid w:val="000C44E4"/>
    <w:rsid w:val="000C4D2D"/>
    <w:rsid w:val="000E1758"/>
    <w:rsid w:val="000E7589"/>
    <w:rsid w:val="000F1E54"/>
    <w:rsid w:val="000F36D4"/>
    <w:rsid w:val="000F7295"/>
    <w:rsid w:val="00102D51"/>
    <w:rsid w:val="001041EC"/>
    <w:rsid w:val="00107FF0"/>
    <w:rsid w:val="001101AA"/>
    <w:rsid w:val="00111311"/>
    <w:rsid w:val="00113C64"/>
    <w:rsid w:val="001308CE"/>
    <w:rsid w:val="00137C05"/>
    <w:rsid w:val="00142DF2"/>
    <w:rsid w:val="00144BF2"/>
    <w:rsid w:val="00155D7A"/>
    <w:rsid w:val="00156487"/>
    <w:rsid w:val="0016015E"/>
    <w:rsid w:val="001728B8"/>
    <w:rsid w:val="001807BB"/>
    <w:rsid w:val="001A1094"/>
    <w:rsid w:val="001B19C9"/>
    <w:rsid w:val="001C5838"/>
    <w:rsid w:val="001C61FF"/>
    <w:rsid w:val="001D4F57"/>
    <w:rsid w:val="001E1EA0"/>
    <w:rsid w:val="001E631B"/>
    <w:rsid w:val="001F20EA"/>
    <w:rsid w:val="001F3847"/>
    <w:rsid w:val="0020255C"/>
    <w:rsid w:val="002160E3"/>
    <w:rsid w:val="002213B5"/>
    <w:rsid w:val="00223AD8"/>
    <w:rsid w:val="00224FF8"/>
    <w:rsid w:val="00237226"/>
    <w:rsid w:val="00247D4A"/>
    <w:rsid w:val="00252808"/>
    <w:rsid w:val="00262845"/>
    <w:rsid w:val="00263BB9"/>
    <w:rsid w:val="002938E4"/>
    <w:rsid w:val="002A234A"/>
    <w:rsid w:val="002C56BC"/>
    <w:rsid w:val="002D3150"/>
    <w:rsid w:val="002D67D8"/>
    <w:rsid w:val="002E13B4"/>
    <w:rsid w:val="002E264C"/>
    <w:rsid w:val="002E3F73"/>
    <w:rsid w:val="002F4B13"/>
    <w:rsid w:val="002F6CDE"/>
    <w:rsid w:val="00301726"/>
    <w:rsid w:val="003028C4"/>
    <w:rsid w:val="00305FDF"/>
    <w:rsid w:val="00306EE0"/>
    <w:rsid w:val="00313A39"/>
    <w:rsid w:val="00327B93"/>
    <w:rsid w:val="00330B03"/>
    <w:rsid w:val="00332A1D"/>
    <w:rsid w:val="003463DC"/>
    <w:rsid w:val="0035123C"/>
    <w:rsid w:val="0035214D"/>
    <w:rsid w:val="00367545"/>
    <w:rsid w:val="00374CAD"/>
    <w:rsid w:val="003A0A85"/>
    <w:rsid w:val="003A472B"/>
    <w:rsid w:val="003A71C2"/>
    <w:rsid w:val="003C3CD9"/>
    <w:rsid w:val="003D0E30"/>
    <w:rsid w:val="003D16EE"/>
    <w:rsid w:val="003D1F6B"/>
    <w:rsid w:val="003D1F8A"/>
    <w:rsid w:val="003D34BE"/>
    <w:rsid w:val="003E4490"/>
    <w:rsid w:val="003E71C5"/>
    <w:rsid w:val="00415DC9"/>
    <w:rsid w:val="00421615"/>
    <w:rsid w:val="004330F8"/>
    <w:rsid w:val="004454CA"/>
    <w:rsid w:val="00447527"/>
    <w:rsid w:val="00450A96"/>
    <w:rsid w:val="00466C3A"/>
    <w:rsid w:val="00482898"/>
    <w:rsid w:val="00493A83"/>
    <w:rsid w:val="004A6A99"/>
    <w:rsid w:val="004C5DAC"/>
    <w:rsid w:val="004D0701"/>
    <w:rsid w:val="004E1F8F"/>
    <w:rsid w:val="004E4DD9"/>
    <w:rsid w:val="004F26F2"/>
    <w:rsid w:val="004F3441"/>
    <w:rsid w:val="004F429E"/>
    <w:rsid w:val="00502F05"/>
    <w:rsid w:val="00511426"/>
    <w:rsid w:val="00511F5D"/>
    <w:rsid w:val="00513CBB"/>
    <w:rsid w:val="00524E05"/>
    <w:rsid w:val="00526EAD"/>
    <w:rsid w:val="00527E1D"/>
    <w:rsid w:val="00532C00"/>
    <w:rsid w:val="00541BFA"/>
    <w:rsid w:val="0054283D"/>
    <w:rsid w:val="00550F7C"/>
    <w:rsid w:val="00551095"/>
    <w:rsid w:val="00555D79"/>
    <w:rsid w:val="005615CB"/>
    <w:rsid w:val="00561981"/>
    <w:rsid w:val="0057649F"/>
    <w:rsid w:val="00585162"/>
    <w:rsid w:val="005B4660"/>
    <w:rsid w:val="005B49CC"/>
    <w:rsid w:val="005B706E"/>
    <w:rsid w:val="005C6D85"/>
    <w:rsid w:val="005D4622"/>
    <w:rsid w:val="005D70DF"/>
    <w:rsid w:val="005E6037"/>
    <w:rsid w:val="005F1243"/>
    <w:rsid w:val="005F1B3A"/>
    <w:rsid w:val="005F2C4A"/>
    <w:rsid w:val="0061120F"/>
    <w:rsid w:val="006125CB"/>
    <w:rsid w:val="006315E4"/>
    <w:rsid w:val="00637891"/>
    <w:rsid w:val="00645A85"/>
    <w:rsid w:val="0064755B"/>
    <w:rsid w:val="00662942"/>
    <w:rsid w:val="00671D34"/>
    <w:rsid w:val="00675275"/>
    <w:rsid w:val="00687679"/>
    <w:rsid w:val="006910CD"/>
    <w:rsid w:val="006A1506"/>
    <w:rsid w:val="006A3533"/>
    <w:rsid w:val="006A6AE7"/>
    <w:rsid w:val="006B1C47"/>
    <w:rsid w:val="006B324C"/>
    <w:rsid w:val="006B630D"/>
    <w:rsid w:val="006D0EB4"/>
    <w:rsid w:val="006D1E64"/>
    <w:rsid w:val="006D1F79"/>
    <w:rsid w:val="006E7A69"/>
    <w:rsid w:val="006F0D1B"/>
    <w:rsid w:val="006F47ED"/>
    <w:rsid w:val="006F5F39"/>
    <w:rsid w:val="007103A2"/>
    <w:rsid w:val="00711264"/>
    <w:rsid w:val="00712191"/>
    <w:rsid w:val="007152BD"/>
    <w:rsid w:val="00727165"/>
    <w:rsid w:val="007353CA"/>
    <w:rsid w:val="007448E6"/>
    <w:rsid w:val="00746B81"/>
    <w:rsid w:val="00764709"/>
    <w:rsid w:val="00771037"/>
    <w:rsid w:val="00776878"/>
    <w:rsid w:val="007866E2"/>
    <w:rsid w:val="00792630"/>
    <w:rsid w:val="00793205"/>
    <w:rsid w:val="007A009D"/>
    <w:rsid w:val="007A07F1"/>
    <w:rsid w:val="007A7017"/>
    <w:rsid w:val="007A73E2"/>
    <w:rsid w:val="007A7416"/>
    <w:rsid w:val="007C0208"/>
    <w:rsid w:val="007E1B0F"/>
    <w:rsid w:val="007E4EEC"/>
    <w:rsid w:val="007F42E4"/>
    <w:rsid w:val="007F4739"/>
    <w:rsid w:val="00811EA7"/>
    <w:rsid w:val="00821370"/>
    <w:rsid w:val="008540F8"/>
    <w:rsid w:val="0085447F"/>
    <w:rsid w:val="00857D89"/>
    <w:rsid w:val="008654CD"/>
    <w:rsid w:val="0087237C"/>
    <w:rsid w:val="00881182"/>
    <w:rsid w:val="008817F9"/>
    <w:rsid w:val="008905C7"/>
    <w:rsid w:val="008A6D6B"/>
    <w:rsid w:val="008B68A6"/>
    <w:rsid w:val="008E1347"/>
    <w:rsid w:val="0090396B"/>
    <w:rsid w:val="00933EC4"/>
    <w:rsid w:val="00945599"/>
    <w:rsid w:val="00956D95"/>
    <w:rsid w:val="00963AD9"/>
    <w:rsid w:val="00965B94"/>
    <w:rsid w:val="00967418"/>
    <w:rsid w:val="00967A53"/>
    <w:rsid w:val="009878D6"/>
    <w:rsid w:val="009926C6"/>
    <w:rsid w:val="0099293D"/>
    <w:rsid w:val="009A181D"/>
    <w:rsid w:val="009A2CF5"/>
    <w:rsid w:val="009A6CD8"/>
    <w:rsid w:val="009A754C"/>
    <w:rsid w:val="009B6C25"/>
    <w:rsid w:val="009C750C"/>
    <w:rsid w:val="009D5BBB"/>
    <w:rsid w:val="009D6904"/>
    <w:rsid w:val="009F0B72"/>
    <w:rsid w:val="009F5B37"/>
    <w:rsid w:val="009F734F"/>
    <w:rsid w:val="00A00CBC"/>
    <w:rsid w:val="00A033E1"/>
    <w:rsid w:val="00A1584E"/>
    <w:rsid w:val="00A25225"/>
    <w:rsid w:val="00A3410C"/>
    <w:rsid w:val="00A50B72"/>
    <w:rsid w:val="00A57029"/>
    <w:rsid w:val="00A618F1"/>
    <w:rsid w:val="00A63C7F"/>
    <w:rsid w:val="00A7594E"/>
    <w:rsid w:val="00A8115F"/>
    <w:rsid w:val="00A86CA4"/>
    <w:rsid w:val="00AA2B92"/>
    <w:rsid w:val="00AB7F20"/>
    <w:rsid w:val="00AC35F7"/>
    <w:rsid w:val="00AD492D"/>
    <w:rsid w:val="00B26B4A"/>
    <w:rsid w:val="00B27F75"/>
    <w:rsid w:val="00B3287C"/>
    <w:rsid w:val="00B35B31"/>
    <w:rsid w:val="00B403F5"/>
    <w:rsid w:val="00B52C84"/>
    <w:rsid w:val="00B57ED2"/>
    <w:rsid w:val="00B67085"/>
    <w:rsid w:val="00B670D1"/>
    <w:rsid w:val="00B76031"/>
    <w:rsid w:val="00B76386"/>
    <w:rsid w:val="00B77DC8"/>
    <w:rsid w:val="00B94112"/>
    <w:rsid w:val="00B9422A"/>
    <w:rsid w:val="00B96E3C"/>
    <w:rsid w:val="00BA31A8"/>
    <w:rsid w:val="00BB0AE1"/>
    <w:rsid w:val="00BB1B72"/>
    <w:rsid w:val="00BB3292"/>
    <w:rsid w:val="00BB3B19"/>
    <w:rsid w:val="00BB73D5"/>
    <w:rsid w:val="00BC5121"/>
    <w:rsid w:val="00BD1F3B"/>
    <w:rsid w:val="00BD2E82"/>
    <w:rsid w:val="00BD5588"/>
    <w:rsid w:val="00BF29F3"/>
    <w:rsid w:val="00C02C98"/>
    <w:rsid w:val="00C17B94"/>
    <w:rsid w:val="00C35909"/>
    <w:rsid w:val="00C50D47"/>
    <w:rsid w:val="00C60815"/>
    <w:rsid w:val="00C76C84"/>
    <w:rsid w:val="00C90EF9"/>
    <w:rsid w:val="00C95A67"/>
    <w:rsid w:val="00C978B3"/>
    <w:rsid w:val="00CB5C01"/>
    <w:rsid w:val="00CC0370"/>
    <w:rsid w:val="00CE664B"/>
    <w:rsid w:val="00CE68B8"/>
    <w:rsid w:val="00CF157D"/>
    <w:rsid w:val="00D10449"/>
    <w:rsid w:val="00D1161F"/>
    <w:rsid w:val="00D212BE"/>
    <w:rsid w:val="00D21A8A"/>
    <w:rsid w:val="00D26CF3"/>
    <w:rsid w:val="00D354CC"/>
    <w:rsid w:val="00D57438"/>
    <w:rsid w:val="00D70DBF"/>
    <w:rsid w:val="00D739E1"/>
    <w:rsid w:val="00D850E4"/>
    <w:rsid w:val="00D96D85"/>
    <w:rsid w:val="00DB696E"/>
    <w:rsid w:val="00DB7852"/>
    <w:rsid w:val="00DC55B5"/>
    <w:rsid w:val="00DC6DF0"/>
    <w:rsid w:val="00DD1616"/>
    <w:rsid w:val="00DD47F1"/>
    <w:rsid w:val="00DF2DA5"/>
    <w:rsid w:val="00DF6416"/>
    <w:rsid w:val="00E072D8"/>
    <w:rsid w:val="00E133BE"/>
    <w:rsid w:val="00E13684"/>
    <w:rsid w:val="00E16098"/>
    <w:rsid w:val="00E22265"/>
    <w:rsid w:val="00E226C5"/>
    <w:rsid w:val="00E273A1"/>
    <w:rsid w:val="00E37CCB"/>
    <w:rsid w:val="00E40162"/>
    <w:rsid w:val="00E40A31"/>
    <w:rsid w:val="00E44472"/>
    <w:rsid w:val="00E454E3"/>
    <w:rsid w:val="00E538DD"/>
    <w:rsid w:val="00E57917"/>
    <w:rsid w:val="00E61791"/>
    <w:rsid w:val="00E647BE"/>
    <w:rsid w:val="00E71559"/>
    <w:rsid w:val="00E74369"/>
    <w:rsid w:val="00E957FE"/>
    <w:rsid w:val="00E961BD"/>
    <w:rsid w:val="00EA3D31"/>
    <w:rsid w:val="00EA4F58"/>
    <w:rsid w:val="00EC0784"/>
    <w:rsid w:val="00EC3438"/>
    <w:rsid w:val="00ED08C3"/>
    <w:rsid w:val="00EE412D"/>
    <w:rsid w:val="00EE59E4"/>
    <w:rsid w:val="00EF1283"/>
    <w:rsid w:val="00EF1602"/>
    <w:rsid w:val="00EF70DA"/>
    <w:rsid w:val="00F05CA2"/>
    <w:rsid w:val="00F213DD"/>
    <w:rsid w:val="00F360B5"/>
    <w:rsid w:val="00F4732B"/>
    <w:rsid w:val="00F478A2"/>
    <w:rsid w:val="00F54498"/>
    <w:rsid w:val="00F544AD"/>
    <w:rsid w:val="00F564CC"/>
    <w:rsid w:val="00F6583D"/>
    <w:rsid w:val="00F715AB"/>
    <w:rsid w:val="00F7335B"/>
    <w:rsid w:val="00F863D5"/>
    <w:rsid w:val="00F92974"/>
    <w:rsid w:val="00F95C43"/>
    <w:rsid w:val="00FB1D57"/>
    <w:rsid w:val="00FF665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926B5"/>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NormalWeb">
    <w:name w:val="Normal (Web)"/>
    <w:basedOn w:val="Normal"/>
    <w:uiPriority w:val="99"/>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125CB"/>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6D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82898"/>
    <w:rPr>
      <w:sz w:val="20"/>
      <w:szCs w:val="20"/>
    </w:rPr>
  </w:style>
  <w:style w:type="character" w:customStyle="1" w:styleId="FootnoteTextChar">
    <w:name w:val="Footnote Text Char"/>
    <w:basedOn w:val="DefaultParagraphFont"/>
    <w:link w:val="FootnoteText"/>
    <w:uiPriority w:val="99"/>
    <w:semiHidden/>
    <w:rsid w:val="00482898"/>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828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225130">
      <w:bodyDiv w:val="1"/>
      <w:marLeft w:val="0"/>
      <w:marRight w:val="0"/>
      <w:marTop w:val="0"/>
      <w:marBottom w:val="0"/>
      <w:divBdr>
        <w:top w:val="none" w:sz="0" w:space="0" w:color="auto"/>
        <w:left w:val="none" w:sz="0" w:space="0" w:color="auto"/>
        <w:bottom w:val="none" w:sz="0" w:space="0" w:color="auto"/>
        <w:right w:val="none" w:sz="0" w:space="0" w:color="auto"/>
      </w:divBdr>
    </w:div>
    <w:div w:id="1509248445">
      <w:bodyDiv w:val="1"/>
      <w:marLeft w:val="0"/>
      <w:marRight w:val="0"/>
      <w:marTop w:val="0"/>
      <w:marBottom w:val="0"/>
      <w:divBdr>
        <w:top w:val="none" w:sz="0" w:space="0" w:color="auto"/>
        <w:left w:val="none" w:sz="0" w:space="0" w:color="auto"/>
        <w:bottom w:val="none" w:sz="0" w:space="0" w:color="auto"/>
        <w:right w:val="none" w:sz="0" w:space="0" w:color="auto"/>
      </w:divBdr>
    </w:div>
    <w:div w:id="1692685968">
      <w:bodyDiv w:val="1"/>
      <w:marLeft w:val="0"/>
      <w:marRight w:val="0"/>
      <w:marTop w:val="0"/>
      <w:marBottom w:val="0"/>
      <w:divBdr>
        <w:top w:val="none" w:sz="0" w:space="0" w:color="auto"/>
        <w:left w:val="none" w:sz="0" w:space="0" w:color="auto"/>
        <w:bottom w:val="none" w:sz="0" w:space="0" w:color="auto"/>
        <w:right w:val="none" w:sz="0" w:space="0" w:color="auto"/>
      </w:divBdr>
    </w:div>
    <w:div w:id="1858884512">
      <w:bodyDiv w:val="1"/>
      <w:marLeft w:val="0"/>
      <w:marRight w:val="0"/>
      <w:marTop w:val="0"/>
      <w:marBottom w:val="0"/>
      <w:divBdr>
        <w:top w:val="none" w:sz="0" w:space="0" w:color="auto"/>
        <w:left w:val="none" w:sz="0" w:space="0" w:color="auto"/>
        <w:bottom w:val="none" w:sz="0" w:space="0" w:color="auto"/>
        <w:right w:val="none" w:sz="0" w:space="0" w:color="auto"/>
      </w:divBdr>
    </w:div>
    <w:div w:id="1930382558">
      <w:bodyDiv w:val="1"/>
      <w:marLeft w:val="0"/>
      <w:marRight w:val="0"/>
      <w:marTop w:val="0"/>
      <w:marBottom w:val="0"/>
      <w:divBdr>
        <w:top w:val="none" w:sz="0" w:space="0" w:color="auto"/>
        <w:left w:val="none" w:sz="0" w:space="0" w:color="auto"/>
        <w:bottom w:val="none" w:sz="0" w:space="0" w:color="auto"/>
        <w:right w:val="none" w:sz="0" w:space="0" w:color="auto"/>
      </w:divBdr>
      <w:divsChild>
        <w:div w:id="1106341147">
          <w:marLeft w:val="0"/>
          <w:marRight w:val="0"/>
          <w:marTop w:val="0"/>
          <w:marBottom w:val="0"/>
          <w:divBdr>
            <w:top w:val="none" w:sz="0" w:space="0" w:color="auto"/>
            <w:left w:val="none" w:sz="0" w:space="0" w:color="auto"/>
            <w:bottom w:val="none" w:sz="0" w:space="0" w:color="auto"/>
            <w:right w:val="none" w:sz="0" w:space="0" w:color="auto"/>
          </w:divBdr>
        </w:div>
        <w:div w:id="1661498125">
          <w:marLeft w:val="0"/>
          <w:marRight w:val="0"/>
          <w:marTop w:val="0"/>
          <w:marBottom w:val="0"/>
          <w:divBdr>
            <w:top w:val="none" w:sz="0" w:space="0" w:color="auto"/>
            <w:left w:val="none" w:sz="0" w:space="0" w:color="auto"/>
            <w:bottom w:val="none" w:sz="0" w:space="0" w:color="auto"/>
            <w:right w:val="none" w:sz="0" w:space="0" w:color="auto"/>
          </w:divBdr>
        </w:div>
      </w:divsChild>
    </w:div>
    <w:div w:id="213976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F19DE-3190-4771-AA72-794B4A05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11888</Words>
  <Characters>6777</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Cenrādis</vt:lpstr>
      <vt:lpstr>Cenrādis</vt:lpstr>
    </vt:vector>
  </TitlesOfParts>
  <Company>Ekonomikas ministrija</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Cenrādis</dc:title>
  <dc:subject>Anotācija</dc:subject>
  <dc:creator>Patricija Dilane</dc:creator>
  <dc:description>Dilāne, 67013030_x000d_
Patricija.Dilane@em.gov.lv</dc:description>
  <cp:lastModifiedBy>Laimdota Adlere</cp:lastModifiedBy>
  <cp:revision>2</cp:revision>
  <cp:lastPrinted>2019-01-03T11:17:00Z</cp:lastPrinted>
  <dcterms:created xsi:type="dcterms:W3CDTF">2019-01-07T09:01:00Z</dcterms:created>
  <dcterms:modified xsi:type="dcterms:W3CDTF">2019-01-07T09:01:00Z</dcterms:modified>
</cp:coreProperties>
</file>